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岳阳市2020年度部门整体支出</w:t>
      </w:r>
    </w:p>
    <w:p>
      <w:pPr>
        <w:spacing w:line="800" w:lineRule="exact"/>
        <w:jc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岳阳市人民防空办公室</w:t>
      </w:r>
      <w:r>
        <w:rPr>
          <w:rFonts w:hint="eastAsia" w:eastAsia="仿宋_GB2312"/>
          <w:sz w:val="32"/>
          <w:szCs w:val="32"/>
          <w:u w:val="single"/>
          <w:lang w:val="en-US" w:eastAsia="zh-CN"/>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508</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2020</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34"/>
        <w:gridCol w:w="992"/>
        <w:gridCol w:w="210"/>
        <w:gridCol w:w="1145"/>
        <w:gridCol w:w="272"/>
        <w:gridCol w:w="808"/>
        <w:gridCol w:w="1385"/>
        <w:gridCol w:w="94"/>
        <w:gridCol w:w="226"/>
        <w:gridCol w:w="196"/>
        <w:gridCol w:w="721"/>
        <w:gridCol w:w="883"/>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  琴</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8886673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highlight w:val="none"/>
                <w:lang w:val="en-US" w:eastAsia="zh-CN"/>
              </w:rPr>
              <w:t>115</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1、贯彻和监督执行国家、省关于人民防空的法律、法规和政策，拟订全市人民防空的基本战略方案，编制中长期发展规划和年度工作计划，经批准后组织实施。</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根据国家批准的防护类别、防护标准，会同有关部门编制和审批人民防空建设与城市建设相结合的规划；审核城市总体规划中有关贯彻落实人民防空要求及人民防空建设规划情况，依法对城市重要经济目标的人民防空建设进行监督检查。</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3、组织和指导制订城市防空袭方案；监督检查群众防空组织建设、训练；组织协调应急</w:t>
            </w:r>
            <w:r>
              <w:rPr>
                <w:rFonts w:hint="eastAsia" w:ascii="仿宋_GB2312" w:hAnsi="仿宋_GB2312" w:eastAsia="仿宋_GB2312" w:cs="仿宋_GB2312"/>
                <w:color w:val="000000"/>
                <w:sz w:val="24"/>
                <w:lang w:val="en-US" w:eastAsia="zh-CN"/>
              </w:rPr>
              <w:t>救</w:t>
            </w:r>
            <w:r>
              <w:rPr>
                <w:rFonts w:hint="eastAsia" w:ascii="仿宋_GB2312" w:hAnsi="仿宋_GB2312" w:eastAsia="仿宋_GB2312" w:cs="仿宋_GB2312"/>
                <w:color w:val="000000"/>
                <w:sz w:val="24"/>
              </w:rPr>
              <w:t>援、抢险救灾工作。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4、组织管理人民防空通信警报建设；对人民防空通信警报网建设实施计划、技术和质量管理，监督保证全市人民防空通信警报畅通；实施人防无线电管制。</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组织管理人民防空工程建设；根据国家和省批准的防护标准和质量标准，对人民防空工程建设实施计划、技术和质量管理；指导和监督结合民用建筑修建防空地下室工作；监管人民防空工程维护管理和平时开发利用；在城市地下空间的开发和利用中监督落实人民防空要求的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6、会同有关部门组织开展人民防空宣传教育工作；普及人民防空知识和技能；负责组织人民防空干部、职工的教育培训工作。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7、管理人民防空经费和资产；编制人民防空经费预决算，对使用情况实施监督检查。</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8、组织人民防空工程、通信、防化等科学技术研究，推广应用科技成果。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9、战时组织开展城市人民防空袭斗争。</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10、承办市委、市政府、岳阳军分区和市国防动员委员会交办的其他事项。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加强党的建设和党风廉政建设。践行“四个始终”，强化党建引领。一是始终突出政治建设。坚持把“三个表率、一个模范”作为推进机关党的政治建设的重要载体，不断引导干部职工树牢“四个意识”，坚定“四个自信”，做到“两个维护”。二是始终抓牢意识形态。完成落实市委《意识形态工作责任制述职评议及绩效评估的情况反馈》问题整改。</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任务2：打赢新冠肺炎疫情防控阻击战。全力投入疫情防控工作。按照市委、政府和省人防办战备值班三级响应要求，成立疫情防控工作领导小组，针对人防小区发现3例新冠肺炎患者，全面升级管控措施</w:t>
            </w:r>
            <w:r>
              <w:rPr>
                <w:rFonts w:hint="eastAsia" w:ascii="仿宋_GB2312" w:hAnsi="仿宋_GB2312" w:eastAsia="仿宋_GB2312" w:cs="仿宋_GB2312"/>
                <w:color w:val="000000"/>
                <w:sz w:val="24"/>
                <w:highlight w:val="none"/>
                <w:lang w:eastAsia="zh-CN"/>
              </w:rPr>
              <w:t>。</w:t>
            </w:r>
          </w:p>
          <w:p>
            <w:pPr>
              <w:autoSpaceDN w:val="0"/>
              <w:spacing w:line="320" w:lineRule="exact"/>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任务3：深化人防行业整治。按照国家、省人防办和我市人防系统深化行业整治工作方案要求，在2019年自查自纠基础上，全面开展摸排复核、梳理完善问题清单，分组分类制定整改清单、整改方案和整改措施，落实整改责任，实现问题清零。加强督查指导，重点对违法违规擅自批准少建、不建或降低标准，把关不严、违规减免缓降问题进行严肃处理。按照“安全第一、预防为主、综合治理”的方针，压实安全生产责任，消除安全隐患，做好风险防控。严格人防保密管理，严防失泄密事故发生。</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任务4：推进防护体系建设。在国土空间规划的指导下，结合中心城区地下空间开发利用专项规划，市本级完成人防专项规划编制工作。抓好人防建设“十三五”规划目标任务落实，科学编制人防建设“十四五”规划。结合“十三五”规划任务落实和“十四五”规划编制，完成人防规划的前期工作。坚持“建管并重”，严格落实人防工程维护管理责任制，扎实开展人防工程安全巡查和早期人防工程加固升级改造，推动人防工程管理市场化。完善警报系统维护与管理，市本级新安装14台警报器，确保防空警报系统全覆盖。</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任务5：突出重点项目建设。（涉密）。任务6：（涉密）。任务7：严格依法行政。按照《湖南省人民防空工程建设与维护管理规定》（省政府令第297号）规定，完善相关配套政策、组织专项宣传活动，加大执法监督力度，解决“零结建”问题。按照工程建设审批制度改革和“最多跑一次”的要求，严格人防行政审批，坚决做到“以建为主、以收促建、应建尽建、应收尽收”，严把审批关，坚决杜绝逃建、漏建和减免缓现象，严格执行省物价部门批准的收费标准。加强人防工程建设、审批、执法档案的管理，确保人防工程建设管理有序，审批规范，案卷完整，建设合法依规。</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8：注重军民融合。贯彻平战结合方针，树立大局意识、积极融入经济社会建设，主动融入和服务城市建设，促进城市地下空间开发利用，合理开发利用人防工程作为停车、便民等公益设施，积极融入应急管理体系，强化指挥通信体系与应急管理体系相融合。</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9：加强人防宣传教育。组织开展专题教育活动，组织好“三湘作家走进岳阳人防”活动及征文活动，强化人防信息员队伍建设，宣传和展示全市人防改革发展新成果。做好“警报试鸣日”、“国防教育日”、“防灾减灾日”等重大时间节点的人防宣传教育，扩大辐射面。县（市、区）要不断扩大宣传阵地，扎实推动人防宣传“五进”活动常态化制度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10：夯实基层基础。根据人防工作实际，理顺机关人员编制结构，加强队伍建设。完成机关档案数字化管理平台建设。整合技术力量，推动人防与住建协调发展。强化教育培训和岗位锻炼，规范内部管理，严格人防战备资产和经费使用管理，做好文明创建、综治维稳、机要保密、老干、工会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1、我们在市委统一部署下，对照省委领导指出我市存在4个方面6个问题，</w:t>
            </w:r>
            <w:r>
              <w:rPr>
                <w:rFonts w:hint="eastAsia" w:ascii="仿宋_GB2312" w:hAnsi="仿宋_GB2312" w:eastAsia="仿宋_GB2312" w:cs="仿宋_GB2312"/>
                <w:color w:val="000000"/>
                <w:sz w:val="24"/>
                <w:lang w:val="en-US" w:eastAsia="zh-CN"/>
              </w:rPr>
              <w:t>一是</w:t>
            </w:r>
            <w:r>
              <w:rPr>
                <w:rFonts w:hint="eastAsia" w:ascii="仿宋_GB2312" w:hAnsi="仿宋_GB2312" w:eastAsia="仿宋_GB2312" w:cs="仿宋_GB2312"/>
                <w:color w:val="000000"/>
                <w:sz w:val="24"/>
              </w:rPr>
              <w:t>集中传达学习</w:t>
            </w:r>
            <w:r>
              <w:rPr>
                <w:rFonts w:hint="eastAsia" w:ascii="仿宋_GB2312" w:hAnsi="仿宋_GB2312" w:eastAsia="仿宋_GB2312" w:cs="仿宋_GB2312"/>
                <w:color w:val="000000"/>
                <w:sz w:val="24"/>
                <w:lang w:val="en-US" w:eastAsia="zh-CN"/>
              </w:rPr>
              <w:t>领导</w:t>
            </w:r>
            <w:r>
              <w:rPr>
                <w:rFonts w:hint="eastAsia" w:ascii="仿宋_GB2312" w:hAnsi="仿宋_GB2312" w:eastAsia="仿宋_GB2312" w:cs="仿宋_GB2312"/>
                <w:color w:val="000000"/>
                <w:sz w:val="24"/>
              </w:rPr>
              <w:t>对岳阳情况的点评意见，邀请市直工委</w:t>
            </w:r>
            <w:r>
              <w:rPr>
                <w:rFonts w:hint="eastAsia" w:ascii="仿宋_GB2312" w:hAnsi="仿宋_GB2312" w:eastAsia="仿宋_GB2312" w:cs="仿宋_GB2312"/>
                <w:color w:val="000000"/>
                <w:sz w:val="24"/>
                <w:lang w:val="en-US" w:eastAsia="zh-CN"/>
              </w:rPr>
              <w:t>领导</w:t>
            </w:r>
            <w:r>
              <w:rPr>
                <w:rFonts w:hint="eastAsia" w:ascii="仿宋_GB2312" w:hAnsi="仿宋_GB2312" w:eastAsia="仿宋_GB2312" w:cs="仿宋_GB2312"/>
                <w:color w:val="000000"/>
                <w:sz w:val="24"/>
              </w:rPr>
              <w:t>以“牢牢掌握新时代意识形态工作的领导权管理权话语权”为主题作意识形态工作专题辅导讲座</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二是</w:t>
            </w:r>
            <w:r>
              <w:rPr>
                <w:rFonts w:hint="eastAsia" w:ascii="仿宋_GB2312" w:hAnsi="仿宋_GB2312" w:eastAsia="仿宋_GB2312" w:cs="仿宋_GB2312"/>
                <w:color w:val="000000"/>
                <w:sz w:val="24"/>
              </w:rPr>
              <w:t>完成党组中心组理论（扩大）学习12次，由党组书记、主任卢志平组织对《中国共产党宣传工作条例》进行了系统学习。三是始终高标准开展组织生活。积极参与“</w:t>
            </w:r>
            <w:r>
              <w:rPr>
                <w:rFonts w:hint="eastAsia" w:ascii="仿宋_GB2312" w:hAnsi="仿宋_GB2312" w:eastAsia="仿宋_GB2312" w:cs="仿宋_GB2312"/>
                <w:color w:val="000000"/>
                <w:sz w:val="24"/>
                <w:lang w:eastAsia="zh-CN"/>
              </w:rPr>
              <w:t>巴陵</w:t>
            </w:r>
            <w:r>
              <w:rPr>
                <w:rFonts w:hint="eastAsia" w:ascii="仿宋_GB2312" w:hAnsi="仿宋_GB2312" w:eastAsia="仿宋_GB2312" w:cs="仿宋_GB2312"/>
                <w:color w:val="000000"/>
                <w:sz w:val="24"/>
              </w:rPr>
              <w:t>先锋.党课开讲啦”活动，四是始终深化廉政建设。不断筑牢干部职工思想防线</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继续推动在去年市委巡察反馈32个问题的整改，严防“四风”问题反弹回潮，有效加强了机关党风廉政建设防控。</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为践行人民防空“战时应战、平时服务”的宗旨，检验全市防空警报系统的性能、布局及音响覆盖效果，提高广大市民自救互救和应急避险的能力，根据《中华人民共和国人民防空法》规定和省人防办的统一部署，于11月1日上午进行防空警报试鸣活动。警报鸣放采取统控模式进行，由“1506”指挥中心统一发放信号进行控制</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全面贯彻落实“安全第一，预防为主”的方针，定期对地一大道、891人防工程、早期人防工程开展综合性安全生产检查，对存在的隐患，督促其制定整改措施，限期整改，并将情况及时上报。协调解决了地一大道与友谊阿波罗施工引起人和春天4号口部损坏等相关问题。汛期，严格实行24小时值班巡查，确保安全度汛。加强对湘阴县人防责任单位的抗洪指导，</w:t>
            </w:r>
            <w:r>
              <w:rPr>
                <w:rFonts w:hint="eastAsia" w:ascii="仿宋_GB2312" w:hAnsi="仿宋_GB2312" w:eastAsia="仿宋_GB2312" w:cs="仿宋_GB2312"/>
                <w:color w:val="000000"/>
                <w:sz w:val="24"/>
                <w:lang w:val="en-US" w:eastAsia="zh-CN"/>
              </w:rPr>
              <w:t>办领导</w:t>
            </w:r>
            <w:r>
              <w:rPr>
                <w:rFonts w:hint="eastAsia" w:ascii="仿宋_GB2312" w:hAnsi="仿宋_GB2312" w:eastAsia="仿宋_GB2312" w:cs="仿宋_GB2312"/>
                <w:color w:val="000000"/>
                <w:sz w:val="24"/>
              </w:rPr>
              <w:t>蹲守湘阴县抗洪一线指导抗洪20余天。</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eastAsia="zh-CN"/>
              </w:rPr>
              <w:t>（涉密）。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深入贯彻习主席“能打仗，打胜仗”的战略要求。训练以“检验装备、锻炼队伍”，市人防办组织市、县两级人防机动指挥通信联合训练，共出动机动指挥车10台、人员35人。通过组织机动指挥通信系统开设、撤收和各种环境下的对接训练演练，规范了通信用语和设备操作方法，掌握了机动指挥通信行动的工作流程，强化了实战意识、标准意识、安全意识和服务意识。全面检验了机动指挥通信系统装备性能，提升了人防机动指挥通信系统的组织指挥能力。</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继续精减行政审批事项，严格执行“五减一优”要求，优化并全面应用“互联网+政务服务”一体化平台，分类优化审批流程，进一步压减审批时间，实行网上联办，力争基本实现群众不用跑或者最多跑一次。严格按照“应建必建”原则，严格将超面积部分易地建设费追缴到位，确保“颗粒归仓”，坚决做到征缴无折扣，杜绝“免、减、缓”现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加强自身建设，发展基础更加坚实。一是坚持建章立制。完善了《党组议事规则》、《主任办公会议制度》等33项制度,做到用制度管权、管事、管人，提升管理水平。二是强化演训结合。提高了参训人员的业务技能、锻炼了体魄、增强了团队意识；三是加强作风建设。严格“一岗双责”，干部参加警示教育，现场监督招投标和政府采购等活动23次，开展重大节假日“四风”问题督查。整改超标办公用房57间385平方米，腾退办公用房6间。四是丰富职工生活。“省级文明标兵单位”工作贯穿全年。五是实现人防档案的信息化管理，是新时代国防建设赋予人防军事化建设的必备条件，是衡量人防机关工作业绩与管理水平的重要尺度。实现室藏纸质档案信息化，需要通过现代信息扫描、影像等技术手段转化成计算机可识别和处理的数字化档案，通过室藏数字化档案和电子文件档案，达到规范要求。</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围绕中心大局，综合服务能力明显增强。一是组织打赢脱贫攻坚战。为实现平江县田湖村整村出列、贫困户脱贫目标，在通过省委、省政府考核验收和第三方评估的基础上，投入20万元扶贫资金助力攻坚，加快扶贫对象脱贫速度。二是推进“最多跑一次” 改革。确定审批事项清单19项，严格落实“三集中、三到位”，压缩办理时限。三是参与城区交通综合整治。积极协调沟通湖南岳阳友阿国际商业广场有限公司、岳阳春天公共设施有限公司和君临新世界物业公司三方地下停车场贯通使用相关事宜，进一步解决了市民停车难问题。四是拓展志愿服务内容。市人防工程管理站为配合市区交通整治的工作，组织全站17名文明劝导志愿者，在青年中路开展“文明劝导”志愿活动。向广大市民宣传绿色出行理念，传递文明出行正能量。</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根据单位年度工作目标，在保障单位基本运行的前提下完成各项相关工作，提高我市的人防组织指挥、通信保障能力；通过广泛的宣传教育，提高广大人民群众的国防观念和防空防灾技能。所有工作达到预算既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88"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992"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88"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8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992"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88"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992"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88"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992"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88"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992"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92"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57"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963"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continue"/>
            <w:vAlign w:val="center"/>
          </w:tcPr>
          <w:p>
            <w:pPr>
              <w:spacing w:line="320" w:lineRule="exact"/>
              <w:jc w:val="center"/>
              <w:rPr>
                <w:rFonts w:ascii="仿宋_GB2312" w:hAnsi="仿宋_GB2312" w:eastAsia="仿宋_GB2312" w:cs="仿宋_GB2312"/>
                <w:sz w:val="24"/>
              </w:rPr>
            </w:pPr>
          </w:p>
        </w:tc>
        <w:tc>
          <w:tcPr>
            <w:tcW w:w="992"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465" w:type="dxa"/>
            <w:gridSpan w:val="3"/>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37"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22"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continue"/>
            <w:vAlign w:val="center"/>
          </w:tcPr>
          <w:p>
            <w:pPr>
              <w:spacing w:line="320" w:lineRule="exact"/>
              <w:jc w:val="center"/>
              <w:rPr>
                <w:rFonts w:ascii="仿宋_GB2312" w:hAnsi="仿宋_GB2312" w:eastAsia="仿宋_GB2312" w:cs="仿宋_GB2312"/>
                <w:sz w:val="24"/>
              </w:rPr>
            </w:pPr>
          </w:p>
        </w:tc>
        <w:tc>
          <w:tcPr>
            <w:tcW w:w="992"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37"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2"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2407.72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1782.42</w:t>
            </w:r>
          </w:p>
        </w:tc>
        <w:tc>
          <w:tcPr>
            <w:tcW w:w="1385"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62.53</w:t>
            </w:r>
          </w:p>
        </w:tc>
        <w:tc>
          <w:tcPr>
            <w:tcW w:w="123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022"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94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2407.72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1782.42</w:t>
            </w:r>
          </w:p>
        </w:tc>
        <w:tc>
          <w:tcPr>
            <w:tcW w:w="1385"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62.53</w:t>
            </w:r>
          </w:p>
        </w:tc>
        <w:tc>
          <w:tcPr>
            <w:tcW w:w="123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1022"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94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992"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2"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992"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2"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92"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continue"/>
            <w:vAlign w:val="center"/>
          </w:tcPr>
          <w:p>
            <w:pPr>
              <w:spacing w:line="320" w:lineRule="exact"/>
              <w:jc w:val="center"/>
              <w:rPr>
                <w:rFonts w:ascii="仿宋_GB2312" w:hAnsi="仿宋_GB2312" w:eastAsia="仿宋_GB2312" w:cs="仿宋_GB2312"/>
                <w:sz w:val="24"/>
              </w:rPr>
            </w:pPr>
          </w:p>
        </w:tc>
        <w:tc>
          <w:tcPr>
            <w:tcW w:w="992"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8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20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15.71</w:t>
            </w:r>
          </w:p>
        </w:tc>
        <w:tc>
          <w:tcPr>
            <w:tcW w:w="1385"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200"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15.71</w:t>
            </w:r>
          </w:p>
        </w:tc>
        <w:tc>
          <w:tcPr>
            <w:tcW w:w="1385"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200"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992"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0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992"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0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92"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Merge w:val="continue"/>
            <w:vAlign w:val="center"/>
          </w:tcPr>
          <w:p>
            <w:pPr>
              <w:spacing w:line="320" w:lineRule="exact"/>
              <w:jc w:val="center"/>
              <w:rPr>
                <w:rFonts w:ascii="仿宋_GB2312" w:hAnsi="仿宋_GB2312" w:eastAsia="仿宋_GB2312" w:cs="仿宋_GB2312"/>
                <w:sz w:val="24"/>
              </w:rPr>
            </w:pPr>
          </w:p>
        </w:tc>
        <w:tc>
          <w:tcPr>
            <w:tcW w:w="992"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364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364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88"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992"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auto"/>
                <w:sz w:val="24"/>
              </w:rPr>
              <w:t>按（</w:t>
            </w:r>
            <w:r>
              <w:rPr>
                <w:rFonts w:hint="eastAsia" w:ascii="仿宋_GB2312" w:hAnsi="仿宋_GB2312" w:eastAsia="仿宋_GB2312" w:cs="仿宋_GB2312"/>
                <w:color w:val="auto"/>
                <w:sz w:val="24"/>
                <w:lang w:val="en-US" w:eastAsia="zh-CN"/>
              </w:rPr>
              <w:t>湘办发电</w:t>
            </w: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20</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25</w:t>
            </w:r>
            <w:r>
              <w:rPr>
                <w:rFonts w:hint="eastAsia" w:ascii="仿宋_GB2312" w:hAnsi="仿宋_GB2312" w:eastAsia="仿宋_GB2312" w:cs="仿宋_GB2312"/>
                <w:color w:val="auto"/>
                <w:sz w:val="24"/>
              </w:rPr>
              <w:t>号）</w:t>
            </w:r>
            <w:r>
              <w:rPr>
                <w:rFonts w:hint="eastAsia" w:ascii="仿宋_GB2312" w:hAnsi="仿宋_GB2312" w:eastAsia="仿宋_GB2312" w:cs="仿宋_GB2312"/>
                <w:color w:val="auto"/>
                <w:sz w:val="24"/>
                <w:lang w:val="en-US" w:eastAsia="zh-CN"/>
              </w:rPr>
              <w:t>关于印发</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highlight w:val="none"/>
                <w:lang w:val="en-US" w:eastAsia="zh-CN"/>
              </w:rPr>
              <w:t>张剑飞同志在全省档案工作会议上的讲话</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lang w:val="en-US" w:eastAsia="zh-CN"/>
              </w:rPr>
              <w:t>的通知</w:t>
            </w:r>
            <w:r>
              <w:rPr>
                <w:rFonts w:hint="eastAsia" w:ascii="仿宋_GB2312" w:hAnsi="仿宋_GB2312" w:eastAsia="仿宋_GB2312" w:cs="仿宋_GB2312"/>
                <w:color w:val="000000"/>
                <w:sz w:val="24"/>
                <w:highlight w:val="none"/>
              </w:rPr>
              <w:t>要求，完成机关档案数字化管理平台建设。</w:t>
            </w:r>
            <w:r>
              <w:rPr>
                <w:rFonts w:hint="eastAsia" w:ascii="仿宋_GB2312" w:hAnsi="仿宋_GB2312" w:eastAsia="仿宋_GB2312" w:cs="仿宋_GB2312"/>
                <w:color w:val="000000"/>
                <w:sz w:val="24"/>
                <w:highlight w:val="none"/>
              </w:rPr>
              <w:br w:type="textWrapping"/>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涉密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目标3：按照既定的工作任务完成20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年度人防宣传教育工作，做好人防人防法律法规的宣传和党校、少年军校的人防宣传培训工作，做好人防志愿者服务工作等。</w:t>
            </w:r>
            <w:r>
              <w:rPr>
                <w:rFonts w:hint="eastAsia" w:ascii="仿宋_GB2312" w:hAnsi="仿宋_GB2312" w:eastAsia="仿宋_GB2312" w:cs="仿宋_GB2312"/>
                <w:color w:val="000000"/>
                <w:sz w:val="24"/>
              </w:rPr>
              <w:br w:type="textWrapping"/>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w:t>
            </w:r>
            <w:r>
              <w:rPr>
                <w:rFonts w:hint="eastAsia" w:ascii="仿宋_GB2312" w:hAnsi="仿宋_GB2312" w:eastAsia="仿宋_GB2312" w:cs="仿宋_GB2312"/>
                <w:color w:val="000000"/>
                <w:sz w:val="24"/>
                <w:highlight w:val="none"/>
                <w:lang w:val="en-US" w:eastAsia="zh-CN"/>
              </w:rPr>
              <w:t>涉密。</w:t>
            </w:r>
            <w:r>
              <w:rPr>
                <w:rFonts w:hint="eastAsia" w:ascii="仿宋_GB2312" w:hAnsi="仿宋_GB2312" w:eastAsia="仿宋_GB2312" w:cs="仿宋_GB2312"/>
                <w:color w:val="000000"/>
                <w:sz w:val="24"/>
                <w:highlight w:val="yellow"/>
                <w:lang w:val="en-US" w:eastAsia="zh-CN"/>
              </w:rPr>
              <w:br w:type="textWrapping"/>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目标5：按照市委市政府的工作安排，早期公共人防工程综合整治工作在2020年度全面开展；积极按照《专项整治行动方案》完成工作目标。</w:t>
            </w:r>
            <w:r>
              <w:rPr>
                <w:rFonts w:hint="eastAsia" w:ascii="仿宋_GB2312" w:hAnsi="仿宋_GB2312" w:eastAsia="仿宋_GB2312" w:cs="仿宋_GB2312"/>
                <w:color w:val="000000"/>
                <w:sz w:val="24"/>
                <w:lang w:val="en-US" w:eastAsia="zh-CN"/>
              </w:rPr>
              <w:br w:type="textWrapping"/>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目标6：在完成专项项目工作的同时，积极维护机关的正常运转和二级机构的运行，保障单位全面工作按照年初的绩效目标完成。</w:t>
            </w:r>
          </w:p>
        </w:tc>
        <w:tc>
          <w:tcPr>
            <w:tcW w:w="4585" w:type="dxa"/>
            <w:gridSpan w:val="8"/>
            <w:vAlign w:val="top"/>
          </w:tcPr>
          <w:p>
            <w:pPr>
              <w:numPr>
                <w:ilvl w:val="0"/>
                <w:numId w:val="1"/>
              </w:numPr>
              <w:tabs>
                <w:tab w:val="left" w:pos="2811"/>
              </w:tabs>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实现人防档案的信息管化理，实现室藏纸质档案信息化，通过现代信息扫描、影像等技术手段转化成计算机可识别和处理的数字化档案，通过室藏数字化档案和电子文件档案，达到规范要求。</w:t>
            </w:r>
          </w:p>
          <w:p>
            <w:pPr>
              <w:numPr>
                <w:ilvl w:val="0"/>
                <w:numId w:val="1"/>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r>
              <w:rPr>
                <w:rFonts w:hint="default" w:ascii="仿宋_GB2312" w:hAnsi="仿宋_GB2312" w:eastAsia="仿宋_GB2312" w:cs="仿宋_GB2312"/>
                <w:color w:val="000000"/>
                <w:sz w:val="24"/>
                <w:lang w:val="en-US" w:eastAsia="zh-CN"/>
              </w:rPr>
              <w:t>。</w:t>
            </w:r>
          </w:p>
          <w:p>
            <w:pPr>
              <w:numPr>
                <w:ilvl w:val="0"/>
                <w:numId w:val="1"/>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组织开展专题教育活动，宣传和展示全市人防改革发展新成果，弘扬干事创业新风貌。做好“警报试鸣日”、“国防教育日”、“防灾减灾日”等重大时间节点的人防宣传教育，增强民众的国防观念和人防意识。扎实推动人防宣传“五进”活动常态化制度化。</w:t>
            </w:r>
          </w:p>
          <w:p>
            <w:pPr>
              <w:numPr>
                <w:ilvl w:val="0"/>
                <w:numId w:val="1"/>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（涉密）</w:t>
            </w:r>
            <w:r>
              <w:rPr>
                <w:rFonts w:hint="default" w:ascii="仿宋_GB2312" w:hAnsi="仿宋_GB2312" w:eastAsia="仿宋_GB2312" w:cs="仿宋_GB2312"/>
                <w:color w:val="000000"/>
                <w:sz w:val="24"/>
                <w:lang w:val="en-US" w:eastAsia="zh-CN"/>
              </w:rPr>
              <w:t>。</w:t>
            </w:r>
          </w:p>
          <w:p>
            <w:pPr>
              <w:numPr>
                <w:ilvl w:val="0"/>
                <w:numId w:val="1"/>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实现群众办事“最多跑一次”工作目标。</w:t>
            </w:r>
            <w:r>
              <w:rPr>
                <w:rFonts w:hint="eastAsia" w:ascii="仿宋_GB2312" w:hAnsi="仿宋_GB2312" w:eastAsia="仿宋_GB2312" w:cs="仿宋_GB2312"/>
                <w:color w:val="000000"/>
                <w:sz w:val="24"/>
                <w:lang w:val="en-US" w:eastAsia="zh-CN"/>
              </w:rPr>
              <w:t>（涉密）</w:t>
            </w:r>
            <w:r>
              <w:rPr>
                <w:rFonts w:hint="default" w:ascii="仿宋_GB2312" w:hAnsi="仿宋_GB2312" w:eastAsia="仿宋_GB2312" w:cs="仿宋_GB2312"/>
                <w:color w:val="000000"/>
                <w:sz w:val="24"/>
                <w:lang w:val="en-US" w:eastAsia="zh-CN"/>
              </w:rPr>
              <w:t>。</w:t>
            </w:r>
          </w:p>
          <w:p>
            <w:pPr>
              <w:numPr>
                <w:ilvl w:val="0"/>
                <w:numId w:val="1"/>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主动对接省办、市人大、市纪委和各县市区，加强工作统筹。与纪委联合开展督查，人防行业整治工作评议结果为满意。专门成立了行业整治领导小组，深入查摆2013年以来全市人防系统存在的突出问题，制定责任清单，实行整改销号。（含跟踪追缴项目84个）。</w:t>
            </w:r>
          </w:p>
          <w:p>
            <w:pPr>
              <w:numPr>
                <w:ilvl w:val="0"/>
                <w:numId w:val="1"/>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加强自身建设，发展基础更加坚实。一是坚持建章立制。完善了《党组议事规则》、《主任办公会议制度》等33项制度,做到用制度管权、管事、管人，提升管理水平。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auto" w:sz="4" w:space="0"/>
              <w:left w:val="single" w:color="auto" w:sz="4" w:space="0"/>
              <w:bottom w:val="nil"/>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Borders>
              <w:left w:val="single" w:color="auto" w:sz="4" w:space="0"/>
            </w:tcBorders>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val="en-US" w:eastAsia="zh-CN"/>
              </w:rPr>
              <w:t>实现人防档案的信息化管理</w:t>
            </w:r>
          </w:p>
        </w:tc>
        <w:tc>
          <w:tcPr>
            <w:tcW w:w="2684" w:type="dxa"/>
            <w:gridSpan w:val="4"/>
            <w:vAlign w:val="center"/>
          </w:tcPr>
          <w:p>
            <w:pPr>
              <w:tabs>
                <w:tab w:val="left" w:pos="236"/>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ab/>
            </w:r>
            <w:r>
              <w:rPr>
                <w:rFonts w:hint="eastAsia" w:ascii="仿宋_GB2312" w:hAnsi="仿宋_GB2312" w:eastAsia="仿宋_GB2312" w:cs="仿宋_GB2312"/>
                <w:color w:val="000000"/>
                <w:sz w:val="24"/>
                <w:lang w:val="en-US" w:eastAsia="zh-CN"/>
              </w:rPr>
              <w:t>实现了人防档案的信息管化理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tcBorders>
              <w:right w:val="single" w:color="auto" w:sz="4" w:space="0"/>
            </w:tcBorders>
            <w:vAlign w:val="center"/>
          </w:tcPr>
          <w:p>
            <w:pPr>
              <w:autoSpaceDN w:val="0"/>
              <w:spacing w:line="320" w:lineRule="exact"/>
              <w:rPr>
                <w:rFonts w:ascii="仿宋_GB2312" w:hAnsi="仿宋_GB2312" w:eastAsia="仿宋_GB2312" w:cs="仿宋_GB2312"/>
                <w:sz w:val="24"/>
              </w:rPr>
            </w:pPr>
          </w:p>
        </w:tc>
        <w:tc>
          <w:tcPr>
            <w:tcW w:w="1417" w:type="dxa"/>
            <w:gridSpan w:val="2"/>
            <w:vMerge w:val="continue"/>
            <w:tcBorders>
              <w:top w:val="nil"/>
              <w:left w:val="single" w:color="auto" w:sz="4" w:space="0"/>
              <w:bottom w:val="nil"/>
              <w:right w:val="single" w:color="auto" w:sz="4" w:space="0"/>
            </w:tcBorders>
            <w:vAlign w:val="center"/>
          </w:tcPr>
          <w:p>
            <w:pPr>
              <w:spacing w:line="320" w:lineRule="exact"/>
              <w:rPr>
                <w:rFonts w:ascii="仿宋_GB2312" w:hAnsi="仿宋_GB2312" w:eastAsia="仿宋_GB2312" w:cs="仿宋_GB2312"/>
                <w:sz w:val="24"/>
              </w:rPr>
            </w:pPr>
          </w:p>
        </w:tc>
        <w:tc>
          <w:tcPr>
            <w:tcW w:w="2709" w:type="dxa"/>
            <w:gridSpan w:val="5"/>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涉密</w:t>
            </w:r>
          </w:p>
        </w:tc>
        <w:tc>
          <w:tcPr>
            <w:tcW w:w="2684" w:type="dxa"/>
            <w:gridSpan w:val="4"/>
            <w:vAlign w:val="center"/>
          </w:tcPr>
          <w:p>
            <w:pPr>
              <w:tabs>
                <w:tab w:val="left" w:pos="269"/>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ab/>
            </w:r>
            <w:r>
              <w:rPr>
                <w:rFonts w:hint="eastAsia" w:ascii="仿宋_GB2312" w:hAnsi="仿宋_GB2312" w:eastAsia="仿宋_GB2312" w:cs="仿宋_GB2312"/>
                <w:color w:val="000000"/>
                <w:sz w:val="24"/>
                <w:lang w:val="en-US" w:eastAsia="zh-CN"/>
              </w:rPr>
              <w:t>涉密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tcBorders>
              <w:right w:val="single" w:color="auto" w:sz="4" w:space="0"/>
            </w:tcBorders>
            <w:vAlign w:val="center"/>
          </w:tcPr>
          <w:p>
            <w:pPr>
              <w:autoSpaceDN w:val="0"/>
              <w:spacing w:line="320" w:lineRule="exact"/>
              <w:rPr>
                <w:rFonts w:ascii="仿宋_GB2312" w:hAnsi="仿宋_GB2312" w:eastAsia="仿宋_GB2312" w:cs="仿宋_GB2312"/>
                <w:sz w:val="24"/>
              </w:rPr>
            </w:pPr>
          </w:p>
        </w:tc>
        <w:tc>
          <w:tcPr>
            <w:tcW w:w="1417" w:type="dxa"/>
            <w:gridSpan w:val="2"/>
            <w:vMerge w:val="continue"/>
            <w:tcBorders>
              <w:top w:val="nil"/>
              <w:left w:val="single" w:color="auto" w:sz="4" w:space="0"/>
              <w:bottom w:val="nil"/>
              <w:right w:val="single" w:color="auto" w:sz="4" w:space="0"/>
            </w:tcBorders>
            <w:vAlign w:val="center"/>
          </w:tcPr>
          <w:p>
            <w:pPr>
              <w:spacing w:line="320" w:lineRule="exact"/>
              <w:rPr>
                <w:rFonts w:ascii="仿宋_GB2312" w:hAnsi="仿宋_GB2312" w:eastAsia="仿宋_GB2312" w:cs="仿宋_GB2312"/>
                <w:sz w:val="24"/>
              </w:rPr>
            </w:pPr>
          </w:p>
        </w:tc>
        <w:tc>
          <w:tcPr>
            <w:tcW w:w="2709" w:type="dxa"/>
            <w:gridSpan w:val="5"/>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lang w:val="en-US" w:eastAsia="zh-CN"/>
              </w:rPr>
              <w:t>宣传和展示全市人防改革发展新成果</w:t>
            </w:r>
          </w:p>
        </w:tc>
        <w:tc>
          <w:tcPr>
            <w:tcW w:w="2684" w:type="dxa"/>
            <w:gridSpan w:val="4"/>
            <w:vAlign w:val="center"/>
          </w:tcPr>
          <w:p>
            <w:pPr>
              <w:numPr>
                <w:ilvl w:val="0"/>
                <w:numId w:val="0"/>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强化</w:t>
            </w:r>
            <w:r>
              <w:rPr>
                <w:rFonts w:hint="eastAsia" w:ascii="仿宋_GB2312" w:hAnsi="仿宋_GB2312" w:eastAsia="仿宋_GB2312" w:cs="仿宋_GB2312"/>
                <w:color w:val="000000"/>
                <w:sz w:val="24"/>
                <w:lang w:val="en-US" w:eastAsia="zh-CN"/>
              </w:rPr>
              <w:t>了</w:t>
            </w:r>
            <w:r>
              <w:rPr>
                <w:rFonts w:hint="default" w:ascii="仿宋_GB2312" w:hAnsi="仿宋_GB2312" w:eastAsia="仿宋_GB2312" w:cs="仿宋_GB2312"/>
                <w:color w:val="000000"/>
                <w:sz w:val="24"/>
                <w:lang w:val="en-US" w:eastAsia="zh-CN"/>
              </w:rPr>
              <w:t>人防信息员队伍</w:t>
            </w:r>
            <w:r>
              <w:rPr>
                <w:rFonts w:hint="eastAsia" w:ascii="仿宋_GB2312" w:hAnsi="仿宋_GB2312" w:eastAsia="仿宋_GB2312" w:cs="仿宋_GB2312"/>
                <w:b/>
                <w:color w:val="000000"/>
                <w:sz w:val="24"/>
                <w:lang w:eastAsia="zh-CN"/>
              </w:rPr>
              <w:tab/>
            </w:r>
            <w:r>
              <w:rPr>
                <w:rFonts w:hint="default" w:ascii="仿宋_GB2312" w:hAnsi="仿宋_GB2312" w:eastAsia="仿宋_GB2312" w:cs="仿宋_GB2312"/>
                <w:color w:val="000000"/>
                <w:sz w:val="24"/>
                <w:lang w:val="en-US" w:eastAsia="zh-CN"/>
              </w:rPr>
              <w:t>扩大宣传阵地，扎实推动人防宣传“五进”活动常态化制度化。</w:t>
            </w:r>
          </w:p>
          <w:p>
            <w:pPr>
              <w:tabs>
                <w:tab w:val="left" w:pos="480"/>
              </w:tabs>
              <w:autoSpaceDN w:val="0"/>
              <w:spacing w:line="320" w:lineRule="exact"/>
              <w:jc w:val="left"/>
              <w:textAlignment w:val="center"/>
              <w:rPr>
                <w:rFonts w:hint="eastAsia" w:ascii="仿宋_GB2312" w:hAnsi="仿宋_GB2312" w:eastAsia="仿宋_GB2312" w:cs="仿宋_GB2312"/>
                <w:b/>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tcBorders>
              <w:right w:val="single" w:color="auto" w:sz="4" w:space="0"/>
            </w:tcBorders>
            <w:vAlign w:val="center"/>
          </w:tcPr>
          <w:p>
            <w:pPr>
              <w:autoSpaceDN w:val="0"/>
              <w:spacing w:line="320" w:lineRule="exact"/>
              <w:rPr>
                <w:rFonts w:ascii="仿宋_GB2312" w:hAnsi="仿宋_GB2312" w:eastAsia="仿宋_GB2312" w:cs="仿宋_GB2312"/>
                <w:sz w:val="24"/>
              </w:rPr>
            </w:pPr>
          </w:p>
        </w:tc>
        <w:tc>
          <w:tcPr>
            <w:tcW w:w="1417" w:type="dxa"/>
            <w:gridSpan w:val="2"/>
            <w:vMerge w:val="restart"/>
            <w:tcBorders>
              <w:top w:val="nil"/>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4"/>
              </w:rPr>
            </w:pPr>
          </w:p>
        </w:tc>
        <w:tc>
          <w:tcPr>
            <w:tcW w:w="2709" w:type="dxa"/>
            <w:gridSpan w:val="5"/>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lang w:val="en-US" w:eastAsia="zh-CN"/>
              </w:rPr>
              <w:t>抓好市本级疏散地域建设试点工作</w:t>
            </w:r>
          </w:p>
        </w:tc>
        <w:tc>
          <w:tcPr>
            <w:tcW w:w="2684" w:type="dxa"/>
            <w:gridSpan w:val="4"/>
            <w:vAlign w:val="center"/>
          </w:tcPr>
          <w:p>
            <w:pPr>
              <w:tabs>
                <w:tab w:val="left" w:pos="458"/>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default" w:ascii="仿宋_GB2312" w:hAnsi="仿宋_GB2312" w:eastAsia="仿宋_GB2312" w:cs="仿宋_GB2312"/>
                <w:color w:val="000000"/>
                <w:sz w:val="24"/>
                <w:lang w:val="en-US" w:eastAsia="zh-CN"/>
              </w:rPr>
              <w:t>实现信息资源共享提升</w:t>
            </w:r>
            <w:r>
              <w:rPr>
                <w:rFonts w:hint="eastAsia" w:ascii="仿宋_GB2312" w:hAnsi="仿宋_GB2312" w:eastAsia="仿宋_GB2312" w:cs="仿宋_GB2312"/>
                <w:color w:val="000000"/>
                <w:sz w:val="24"/>
                <w:lang w:val="en-US" w:eastAsia="zh-CN"/>
              </w:rPr>
              <w:t>了</w:t>
            </w:r>
            <w:r>
              <w:rPr>
                <w:rFonts w:hint="default" w:ascii="仿宋_GB2312" w:hAnsi="仿宋_GB2312" w:eastAsia="仿宋_GB2312" w:cs="仿宋_GB2312"/>
                <w:color w:val="000000"/>
                <w:sz w:val="24"/>
                <w:lang w:val="en-US" w:eastAsia="zh-CN"/>
              </w:rPr>
              <w:t>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tcBorders>
              <w:right w:val="single" w:color="auto" w:sz="4" w:space="0"/>
            </w:tcBorders>
            <w:vAlign w:val="center"/>
          </w:tcPr>
          <w:p>
            <w:pPr>
              <w:autoSpaceDN w:val="0"/>
              <w:spacing w:line="320" w:lineRule="exact"/>
              <w:rPr>
                <w:rFonts w:ascii="仿宋_GB2312" w:hAnsi="仿宋_GB2312" w:eastAsia="仿宋_GB2312" w:cs="仿宋_GB2312"/>
                <w:sz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4"/>
              </w:rPr>
            </w:pPr>
          </w:p>
        </w:tc>
        <w:tc>
          <w:tcPr>
            <w:tcW w:w="2709" w:type="dxa"/>
            <w:gridSpan w:val="5"/>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lang w:val="en-US" w:eastAsia="zh-CN"/>
              </w:rPr>
              <w:t>实现群众办事“最多跑一次”工作目标</w:t>
            </w:r>
          </w:p>
        </w:tc>
        <w:tc>
          <w:tcPr>
            <w:tcW w:w="2684" w:type="dxa"/>
            <w:gridSpan w:val="4"/>
            <w:vAlign w:val="center"/>
          </w:tcPr>
          <w:p>
            <w:pPr>
              <w:tabs>
                <w:tab w:val="left" w:pos="325"/>
              </w:tabs>
              <w:autoSpaceDN w:val="0"/>
              <w:spacing w:line="320" w:lineRule="exact"/>
              <w:ind w:firstLine="240" w:firstLineChars="100"/>
              <w:jc w:val="left"/>
              <w:textAlignment w:val="center"/>
              <w:rPr>
                <w:rFonts w:hint="eastAsia" w:ascii="仿宋_GB2312" w:hAnsi="仿宋_GB2312" w:eastAsia="仿宋_GB2312" w:cs="仿宋_GB2312"/>
                <w:b/>
                <w:color w:val="000000"/>
                <w:sz w:val="24"/>
                <w:lang w:eastAsia="zh-CN"/>
              </w:rPr>
            </w:pPr>
            <w:r>
              <w:rPr>
                <w:rFonts w:hint="default" w:ascii="仿宋_GB2312" w:hAnsi="仿宋_GB2312" w:eastAsia="仿宋_GB2312" w:cs="仿宋_GB2312"/>
                <w:color w:val="000000"/>
                <w:sz w:val="24"/>
                <w:lang w:val="en-US" w:eastAsia="zh-CN"/>
              </w:rPr>
              <w:t>没有出现违规减、免、缓、降的情况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tcBorders>
              <w:right w:val="single" w:color="auto" w:sz="4" w:space="0"/>
            </w:tcBorders>
            <w:vAlign w:val="center"/>
          </w:tcPr>
          <w:p>
            <w:pPr>
              <w:autoSpaceDN w:val="0"/>
              <w:spacing w:line="320" w:lineRule="exact"/>
              <w:rPr>
                <w:rFonts w:ascii="仿宋_GB2312" w:hAnsi="仿宋_GB2312" w:eastAsia="仿宋_GB2312" w:cs="仿宋_GB2312"/>
                <w:sz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4"/>
              </w:rPr>
            </w:pPr>
          </w:p>
        </w:tc>
        <w:tc>
          <w:tcPr>
            <w:tcW w:w="2709" w:type="dxa"/>
            <w:gridSpan w:val="5"/>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lang w:val="en-US" w:eastAsia="zh-CN"/>
              </w:rPr>
              <w:t>完成市人大常委会</w:t>
            </w:r>
            <w:r>
              <w:rPr>
                <w:rFonts w:hint="eastAsia" w:ascii="仿宋_GB2312" w:hAnsi="仿宋_GB2312" w:eastAsia="仿宋_GB2312" w:cs="仿宋_GB2312"/>
                <w:color w:val="000000"/>
                <w:sz w:val="24"/>
                <w:lang w:val="en-US" w:eastAsia="zh-CN"/>
              </w:rPr>
              <w:t>对</w:t>
            </w:r>
            <w:r>
              <w:rPr>
                <w:rFonts w:hint="default" w:ascii="仿宋_GB2312" w:hAnsi="仿宋_GB2312" w:eastAsia="仿宋_GB2312" w:cs="仿宋_GB2312"/>
                <w:color w:val="000000"/>
                <w:sz w:val="24"/>
                <w:lang w:val="en-US" w:eastAsia="zh-CN"/>
              </w:rPr>
              <w:t>人防行业整治工作评议</w:t>
            </w:r>
          </w:p>
        </w:tc>
        <w:tc>
          <w:tcPr>
            <w:tcW w:w="2684" w:type="dxa"/>
            <w:gridSpan w:val="4"/>
            <w:vAlign w:val="center"/>
          </w:tcPr>
          <w:p>
            <w:pPr>
              <w:tabs>
                <w:tab w:val="left" w:pos="558"/>
              </w:tabs>
              <w:autoSpaceDN w:val="0"/>
              <w:spacing w:line="320" w:lineRule="exact"/>
              <w:ind w:firstLine="240" w:firstLineChars="100"/>
              <w:jc w:val="left"/>
              <w:textAlignment w:val="center"/>
              <w:rPr>
                <w:rFonts w:hint="default" w:ascii="仿宋_GB2312" w:hAnsi="仿宋_GB2312" w:eastAsia="仿宋_GB2312" w:cs="仿宋_GB2312"/>
                <w:b/>
                <w:color w:val="000000"/>
                <w:kern w:val="2"/>
                <w:sz w:val="24"/>
                <w:szCs w:val="24"/>
                <w:lang w:val="en-US" w:eastAsia="zh-CN" w:bidi="ar-SA"/>
              </w:rPr>
            </w:pPr>
            <w:r>
              <w:rPr>
                <w:rFonts w:hint="default" w:ascii="仿宋_GB2312" w:hAnsi="仿宋_GB2312" w:eastAsia="仿宋_GB2312" w:cs="仿宋_GB2312"/>
                <w:color w:val="000000"/>
                <w:sz w:val="24"/>
                <w:lang w:val="en-US" w:eastAsia="zh-CN"/>
              </w:rPr>
              <w:t>完成市人大常委会</w:t>
            </w:r>
            <w:r>
              <w:rPr>
                <w:rFonts w:hint="eastAsia" w:ascii="仿宋_GB2312" w:hAnsi="仿宋_GB2312" w:eastAsia="仿宋_GB2312" w:cs="仿宋_GB2312"/>
                <w:color w:val="000000"/>
                <w:sz w:val="24"/>
                <w:lang w:val="en-US" w:eastAsia="zh-CN"/>
              </w:rPr>
              <w:t>对</w:t>
            </w:r>
            <w:r>
              <w:rPr>
                <w:rFonts w:hint="default" w:ascii="仿宋_GB2312" w:hAnsi="仿宋_GB2312" w:eastAsia="仿宋_GB2312" w:cs="仿宋_GB2312"/>
                <w:color w:val="000000"/>
                <w:sz w:val="24"/>
                <w:lang w:val="en-US" w:eastAsia="zh-CN"/>
              </w:rPr>
              <w:t>人防行业整治工作评议，结果为满意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tcBorders>
              <w:right w:val="single" w:color="auto" w:sz="4" w:space="0"/>
            </w:tcBorders>
            <w:vAlign w:val="center"/>
          </w:tcPr>
          <w:p>
            <w:pPr>
              <w:autoSpaceDN w:val="0"/>
              <w:spacing w:line="320" w:lineRule="exact"/>
              <w:rPr>
                <w:rFonts w:ascii="仿宋_GB2312" w:hAnsi="仿宋_GB2312" w:eastAsia="仿宋_GB2312" w:cs="仿宋_GB2312"/>
                <w:sz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sz w:val="24"/>
              </w:rPr>
            </w:pPr>
          </w:p>
        </w:tc>
        <w:tc>
          <w:tcPr>
            <w:tcW w:w="2709" w:type="dxa"/>
            <w:gridSpan w:val="5"/>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4"/>
                <w:lang w:val="en-US" w:eastAsia="zh-CN"/>
              </w:rPr>
              <w:t>标7</w:t>
            </w:r>
            <w:r>
              <w:rPr>
                <w:rFonts w:hint="eastAsia" w:ascii="仿宋_GB2312" w:hAnsi="仿宋_GB2312" w:eastAsia="仿宋_GB2312" w:cs="仿宋_GB2312"/>
                <w:color w:val="000000"/>
                <w:sz w:val="24"/>
              </w:rPr>
              <w:t>：</w:t>
            </w:r>
            <w:r>
              <w:rPr>
                <w:rFonts w:hint="default" w:ascii="仿宋_GB2312" w:hAnsi="仿宋_GB2312" w:eastAsia="仿宋_GB2312" w:cs="仿宋_GB2312"/>
                <w:color w:val="000000"/>
                <w:sz w:val="24"/>
                <w:lang w:val="en-US" w:eastAsia="zh-CN"/>
              </w:rPr>
              <w:t>加强自身建设，坚持建章立制</w:t>
            </w:r>
          </w:p>
        </w:tc>
        <w:tc>
          <w:tcPr>
            <w:tcW w:w="2684" w:type="dxa"/>
            <w:gridSpan w:val="4"/>
            <w:vAlign w:val="center"/>
          </w:tcPr>
          <w:p>
            <w:pPr>
              <w:tabs>
                <w:tab w:val="left" w:pos="569"/>
              </w:tabs>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ab/>
            </w:r>
            <w:r>
              <w:rPr>
                <w:rFonts w:hint="default" w:ascii="仿宋_GB2312" w:hAnsi="仿宋_GB2312" w:eastAsia="仿宋_GB2312" w:cs="仿宋_GB2312"/>
                <w:color w:val="000000"/>
                <w:sz w:val="24"/>
                <w:lang w:val="en-US" w:eastAsia="zh-CN"/>
              </w:rPr>
              <w:t>提升</w:t>
            </w:r>
            <w:r>
              <w:rPr>
                <w:rFonts w:hint="eastAsia" w:ascii="仿宋_GB2312" w:hAnsi="仿宋_GB2312" w:eastAsia="仿宋_GB2312" w:cs="仿宋_GB2312"/>
                <w:color w:val="000000"/>
                <w:sz w:val="24"/>
                <w:lang w:val="en-US" w:eastAsia="zh-CN"/>
              </w:rPr>
              <w:t>了</w:t>
            </w:r>
            <w:r>
              <w:rPr>
                <w:rFonts w:hint="default" w:ascii="仿宋_GB2312" w:hAnsi="仿宋_GB2312" w:eastAsia="仿宋_GB2312" w:cs="仿宋_GB2312"/>
                <w:color w:val="000000"/>
                <w:sz w:val="24"/>
                <w:lang w:val="en-US" w:eastAsia="zh-CN"/>
              </w:rPr>
              <w:t>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val="en-US" w:eastAsia="zh-CN"/>
              </w:rPr>
              <w:t>涉密</w:t>
            </w:r>
          </w:p>
        </w:tc>
        <w:tc>
          <w:tcPr>
            <w:tcW w:w="2684" w:type="dxa"/>
            <w:gridSpan w:val="4"/>
            <w:vAlign w:val="center"/>
          </w:tcPr>
          <w:p>
            <w:pPr>
              <w:autoSpaceDN w:val="0"/>
              <w:spacing w:line="320" w:lineRule="exact"/>
              <w:jc w:val="center"/>
              <w:textAlignment w:val="center"/>
              <w:rPr>
                <w:rFonts w:hint="eastAsia" w:ascii="仿宋" w:hAnsi="仿宋" w:eastAsia="仿宋" w:cs="仿宋"/>
                <w:sz w:val="24"/>
              </w:rPr>
            </w:pPr>
            <w:r>
              <w:rPr>
                <w:rFonts w:hint="eastAsia" w:ascii="仿宋" w:hAnsi="仿宋" w:eastAsia="仿宋" w:cs="仿宋"/>
                <w:sz w:val="24"/>
              </w:rPr>
              <w:t>达到预期目标</w:t>
            </w:r>
          </w:p>
          <w:p>
            <w:pPr>
              <w:autoSpaceDN w:val="0"/>
              <w:spacing w:line="320" w:lineRule="exact"/>
              <w:jc w:val="center"/>
              <w:textAlignment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numPr>
                <w:ilvl w:val="0"/>
                <w:numId w:val="0"/>
              </w:numPr>
              <w:tabs>
                <w:tab w:val="left" w:pos="2811"/>
              </w:tabs>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涉密</w:t>
            </w:r>
          </w:p>
        </w:tc>
        <w:tc>
          <w:tcPr>
            <w:tcW w:w="2684" w:type="dxa"/>
            <w:gridSpan w:val="4"/>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完成年度计划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涉密</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完成年度计划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涉密</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default" w:ascii="仿宋_GB2312" w:hAnsi="仿宋_GB2312" w:eastAsia="仿宋_GB2312" w:cs="仿宋_GB2312"/>
                <w:color w:val="000000"/>
                <w:sz w:val="24"/>
                <w:lang w:val="en-US" w:eastAsia="zh-CN"/>
              </w:rPr>
              <w:t>没有出现违规减、免、缓、降的情况。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auto"/>
                <w:sz w:val="24"/>
                <w:lang w:val="en-US" w:eastAsia="zh-CN"/>
              </w:rPr>
              <w:t>涉密</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完成年度计划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numPr>
                <w:ilvl w:val="0"/>
                <w:numId w:val="0"/>
              </w:numPr>
              <w:tabs>
                <w:tab w:val="left" w:pos="2811"/>
              </w:tabs>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涉密</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2684" w:type="dxa"/>
            <w:gridSpan w:val="4"/>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完成年度计划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numPr>
                <w:ilvl w:val="0"/>
                <w:numId w:val="0"/>
              </w:numPr>
              <w:tabs>
                <w:tab w:val="left" w:pos="2811"/>
              </w:tabs>
              <w:autoSpaceDN w:val="0"/>
              <w:spacing w:line="320" w:lineRule="exact"/>
              <w:jc w:val="both"/>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指标</w:t>
            </w:r>
            <w:r>
              <w:rPr>
                <w:rFonts w:hint="eastAsia" w:ascii="仿宋_GB2312" w:hAnsi="仿宋_GB2312" w:eastAsia="仿宋_GB2312" w:cs="仿宋_GB2312"/>
                <w:color w:val="000000"/>
                <w:sz w:val="18"/>
                <w:szCs w:val="18"/>
                <w:lang w:val="en-US" w:eastAsia="zh-CN"/>
              </w:rPr>
              <w:t>7</w:t>
            </w:r>
            <w:r>
              <w:rPr>
                <w:rFonts w:hint="eastAsia" w:ascii="仿宋_GB2312" w:hAnsi="仿宋_GB2312" w:eastAsia="仿宋_GB2312" w:cs="仿宋_GB2312"/>
                <w:color w:val="000000"/>
                <w:sz w:val="18"/>
                <w:szCs w:val="18"/>
              </w:rPr>
              <w:t>：</w:t>
            </w:r>
            <w:r>
              <w:rPr>
                <w:rFonts w:hint="eastAsia" w:ascii="宋体" w:hAnsi="宋体" w:eastAsia="宋体" w:cs="宋体"/>
                <w:kern w:val="0"/>
                <w:sz w:val="18"/>
                <w:szCs w:val="18"/>
                <w:lang w:val="en-US" w:eastAsia="zh-CN" w:bidi="ar"/>
              </w:rPr>
              <w:t>向市民发放防空防灾安全口袋书、人防（民防）知识手册、省政府297号令等宣传资料500余册，现场接受群众咨询100余人次</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2684" w:type="dxa"/>
            <w:gridSpan w:val="4"/>
            <w:vAlign w:val="center"/>
          </w:tcPr>
          <w:p>
            <w:pPr>
              <w:tabs>
                <w:tab w:val="left" w:pos="725"/>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ab/>
            </w: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仿宋_GB2312" w:hAnsi="仿宋_GB2312" w:eastAsia="仿宋_GB2312" w:cs="仿宋_GB2312"/>
                <w:color w:val="000000"/>
                <w:sz w:val="24"/>
              </w:rPr>
              <w:t>指标1：</w:t>
            </w:r>
            <w:r>
              <w:rPr>
                <w:rFonts w:hint="eastAsia" w:ascii="宋体" w:hAnsi="宋体" w:eastAsia="宋体" w:cs="宋体"/>
                <w:kern w:val="0"/>
                <w:sz w:val="24"/>
                <w:szCs w:val="24"/>
                <w:lang w:val="en-US" w:eastAsia="zh-CN" w:bidi="ar"/>
              </w:rPr>
              <w:t>合理利用人防非税收入征收成本。保障人防执法等工作的顺利开展。</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行政经费的使用</w:t>
            </w:r>
            <w:r>
              <w:rPr>
                <w:rFonts w:hint="eastAsia" w:ascii="宋体" w:hAnsi="宋体" w:eastAsia="宋体" w:cs="宋体"/>
                <w:kern w:val="0"/>
                <w:sz w:val="24"/>
                <w:szCs w:val="24"/>
                <w:lang w:val="en-US" w:eastAsia="zh-CN" w:bidi="ar"/>
              </w:rPr>
              <w:t>保障了单位正常的基本运转</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宋体" w:hAnsi="宋体" w:eastAsia="宋体" w:cs="宋体"/>
                <w:kern w:val="0"/>
                <w:sz w:val="24"/>
                <w:szCs w:val="24"/>
                <w:lang w:val="en-US" w:eastAsia="zh-CN" w:bidi="ar"/>
              </w:rPr>
              <w:t>提高我市人防组织指挥、通信保障和遂行能力</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宋体" w:hAnsi="宋体" w:eastAsia="宋体" w:cs="宋体"/>
                <w:sz w:val="24"/>
                <w:szCs w:val="24"/>
                <w:lang w:val="en-US" w:eastAsia="zh-CN"/>
              </w:rPr>
              <w:t>国防观念</w:t>
            </w:r>
            <w:r>
              <w:rPr>
                <w:rFonts w:hint="eastAsia" w:ascii="宋体" w:hAnsi="宋体" w:eastAsia="宋体" w:cs="宋体"/>
                <w:kern w:val="0"/>
                <w:sz w:val="24"/>
                <w:szCs w:val="24"/>
                <w:lang w:val="en-US" w:eastAsia="zh-CN" w:bidi="ar"/>
              </w:rPr>
              <w:t>在社会造成积极而强烈的反响，提升了岳阳人防正面形象</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rPr>
                <w:rFonts w:hint="default" w:ascii="宋体" w:hAnsi="宋体" w:eastAsia="宋体" w:cs="宋体"/>
                <w:sz w:val="24"/>
                <w:szCs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宋体" w:hAnsi="宋体" w:eastAsia="宋体" w:cs="宋体"/>
                <w:sz w:val="24"/>
                <w:szCs w:val="24"/>
                <w:lang w:val="en-US" w:eastAsia="zh-CN"/>
              </w:rPr>
              <w:t>应急经费</w:t>
            </w:r>
            <w:r>
              <w:rPr>
                <w:rFonts w:hint="eastAsia" w:ascii="宋体" w:hAnsi="宋体" w:cs="宋体"/>
                <w:sz w:val="24"/>
                <w:szCs w:val="24"/>
                <w:lang w:val="en-US" w:eastAsia="zh-CN"/>
              </w:rPr>
              <w:t>的使用，</w:t>
            </w:r>
            <w:r>
              <w:rPr>
                <w:rFonts w:hint="eastAsia" w:ascii="宋体" w:hAnsi="宋体" w:eastAsia="宋体" w:cs="宋体"/>
                <w:kern w:val="0"/>
                <w:sz w:val="24"/>
                <w:szCs w:val="24"/>
                <w:lang w:val="en-US" w:eastAsia="zh-CN" w:bidi="ar"/>
              </w:rPr>
              <w:t>保障省了人防办、市委市政府、军分区及其他相关单位临时性交办的工作安排及早期人防工程防汛防旱抢险救灾及其他抢险救灾任务</w:t>
            </w:r>
            <w:r>
              <w:rPr>
                <w:rFonts w:hint="eastAsia" w:ascii="宋体" w:hAnsi="宋体" w:cs="宋体"/>
                <w:kern w:val="0"/>
                <w:sz w:val="24"/>
                <w:szCs w:val="24"/>
                <w:lang w:val="en-US" w:eastAsia="zh-CN" w:bidi="ar"/>
              </w:rPr>
              <w:t>按时</w:t>
            </w:r>
            <w:r>
              <w:rPr>
                <w:rFonts w:hint="eastAsia" w:ascii="宋体" w:hAnsi="宋体" w:eastAsia="宋体" w:cs="宋体"/>
                <w:kern w:val="0"/>
                <w:sz w:val="24"/>
                <w:szCs w:val="24"/>
                <w:lang w:val="en-US" w:eastAsia="zh-CN" w:bidi="ar"/>
              </w:rPr>
              <w:t>完成</w:t>
            </w:r>
          </w:p>
          <w:p>
            <w:pPr>
              <w:autoSpaceDN w:val="0"/>
              <w:spacing w:line="320" w:lineRule="exact"/>
              <w:jc w:val="both"/>
              <w:textAlignment w:val="center"/>
              <w:rPr>
                <w:rFonts w:hint="eastAsia" w:ascii="仿宋_GB2312" w:hAnsi="仿宋_GB2312" w:eastAsia="仿宋_GB2312" w:cs="仿宋_GB2312"/>
                <w:color w:val="000000"/>
                <w:sz w:val="24"/>
              </w:rPr>
            </w:pP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tabs>
                <w:tab w:val="left" w:pos="434"/>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宋体" w:hAnsi="宋体" w:eastAsia="宋体" w:cs="宋体"/>
                <w:sz w:val="24"/>
                <w:szCs w:val="24"/>
                <w:lang w:val="en-US" w:eastAsia="zh-CN"/>
              </w:rPr>
              <w:t>组织指挥经费的支出，</w:t>
            </w:r>
            <w:r>
              <w:rPr>
                <w:rFonts w:hint="eastAsia" w:ascii="宋体" w:hAnsi="宋体" w:cs="宋体"/>
                <w:sz w:val="24"/>
                <w:szCs w:val="24"/>
                <w:lang w:val="en-US" w:eastAsia="zh-CN"/>
              </w:rPr>
              <w:t>保证</w:t>
            </w:r>
            <w:r>
              <w:rPr>
                <w:rFonts w:hint="eastAsia" w:ascii="宋体" w:hAnsi="宋体" w:cs="宋体"/>
                <w:kern w:val="0"/>
                <w:sz w:val="24"/>
                <w:szCs w:val="24"/>
                <w:lang w:val="en-US" w:eastAsia="zh-CN" w:bidi="ar"/>
              </w:rPr>
              <w:t>按时</w:t>
            </w:r>
            <w:r>
              <w:rPr>
                <w:rFonts w:hint="eastAsia" w:ascii="宋体" w:hAnsi="宋体" w:eastAsia="宋体" w:cs="宋体"/>
                <w:kern w:val="0"/>
                <w:sz w:val="24"/>
                <w:szCs w:val="24"/>
                <w:lang w:val="en-US" w:eastAsia="zh-CN" w:bidi="ar"/>
              </w:rPr>
              <w:t>完善了指挥功能，保</w:t>
            </w:r>
            <w:r>
              <w:rPr>
                <w:rFonts w:hint="eastAsia" w:ascii="宋体" w:hAnsi="宋体" w:cs="宋体"/>
                <w:kern w:val="0"/>
                <w:sz w:val="24"/>
                <w:szCs w:val="24"/>
                <w:lang w:val="en-US" w:eastAsia="zh-CN" w:bidi="ar"/>
              </w:rPr>
              <w:t>障</w:t>
            </w:r>
            <w:r>
              <w:rPr>
                <w:rFonts w:hint="eastAsia" w:ascii="宋体" w:hAnsi="宋体" w:eastAsia="宋体" w:cs="宋体"/>
                <w:kern w:val="0"/>
                <w:sz w:val="24"/>
                <w:szCs w:val="24"/>
                <w:lang w:val="en-US" w:eastAsia="zh-CN" w:bidi="ar"/>
              </w:rPr>
              <w:t>防空防灾工作落实</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1"/>
                <w:szCs w:val="21"/>
              </w:rPr>
              <w:t>指标1：</w:t>
            </w:r>
            <w:r>
              <w:rPr>
                <w:rFonts w:hint="eastAsia" w:ascii="宋体" w:hAnsi="宋体" w:cs="宋体"/>
                <w:sz w:val="21"/>
                <w:szCs w:val="21"/>
                <w:lang w:val="en-US" w:eastAsia="zh-CN"/>
              </w:rPr>
              <w:t>涉密</w:t>
            </w:r>
          </w:p>
        </w:tc>
        <w:tc>
          <w:tcPr>
            <w:tcW w:w="2684" w:type="dxa"/>
            <w:gridSpan w:val="4"/>
            <w:vAlign w:val="center"/>
          </w:tcPr>
          <w:p>
            <w:pPr>
              <w:tabs>
                <w:tab w:val="left" w:pos="447"/>
              </w:tabs>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ab/>
            </w:r>
            <w:r>
              <w:rPr>
                <w:rFonts w:hint="eastAsia" w:ascii="仿宋_GB2312" w:hAnsi="仿宋_GB2312" w:eastAsia="仿宋_GB2312" w:cs="仿宋_GB2312"/>
                <w:b/>
                <w:color w:val="000000"/>
                <w:sz w:val="24"/>
                <w:lang w:val="en-US" w:eastAsia="zh-CN"/>
              </w:rPr>
              <w:t>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指标2：</w:t>
            </w:r>
            <w:r>
              <w:rPr>
                <w:rFonts w:hint="eastAsia" w:ascii="宋体" w:hAnsi="宋体" w:eastAsia="宋体" w:cs="宋体"/>
                <w:sz w:val="24"/>
                <w:szCs w:val="24"/>
                <w:lang w:eastAsia="zh-CN"/>
              </w:rPr>
              <w:t>机关运转费用</w:t>
            </w:r>
            <w:r>
              <w:rPr>
                <w:rFonts w:hint="eastAsia" w:ascii="宋体" w:hAnsi="宋体" w:eastAsia="宋体" w:cs="宋体"/>
                <w:sz w:val="24"/>
                <w:szCs w:val="24"/>
                <w:lang w:val="en-US" w:eastAsia="zh-CN"/>
              </w:rPr>
              <w:t>预算资金</w:t>
            </w:r>
            <w:r>
              <w:rPr>
                <w:rFonts w:hint="eastAsia" w:ascii="宋体" w:hAnsi="宋体" w:cs="宋体"/>
                <w:sz w:val="24"/>
                <w:szCs w:val="24"/>
                <w:lang w:val="en-US" w:eastAsia="zh-CN"/>
              </w:rPr>
              <w:t>281万元，</w:t>
            </w:r>
            <w:r>
              <w:rPr>
                <w:rFonts w:hint="eastAsia" w:ascii="宋体" w:hAnsi="宋体" w:eastAsia="宋体" w:cs="宋体"/>
                <w:kern w:val="0"/>
                <w:sz w:val="24"/>
                <w:szCs w:val="24"/>
                <w:lang w:val="en-US" w:eastAsia="zh-CN" w:bidi="ar"/>
              </w:rPr>
              <w:t>项目年度产出指标281万元，</w:t>
            </w:r>
            <w:r>
              <w:rPr>
                <w:rFonts w:hint="eastAsia" w:ascii="宋体" w:hAnsi="宋体" w:cs="宋体"/>
                <w:kern w:val="0"/>
                <w:sz w:val="24"/>
                <w:szCs w:val="24"/>
                <w:lang w:val="en-US" w:eastAsia="zh-CN" w:bidi="ar"/>
              </w:rPr>
              <w:t>按预算执行</w:t>
            </w:r>
          </w:p>
        </w:tc>
        <w:tc>
          <w:tcPr>
            <w:tcW w:w="2684" w:type="dxa"/>
            <w:gridSpan w:val="4"/>
            <w:vAlign w:val="center"/>
          </w:tcPr>
          <w:p>
            <w:pPr>
              <w:keepNext w:val="0"/>
              <w:keepLines w:val="0"/>
              <w:widowControl/>
              <w:suppressLineNumbers w:val="0"/>
              <w:jc w:val="left"/>
              <w:rPr>
                <w:rFonts w:hint="eastAsia" w:ascii="宋体" w:hAnsi="宋体" w:eastAsia="宋体" w:cs="宋体"/>
                <w:kern w:val="0"/>
                <w:sz w:val="15"/>
                <w:szCs w:val="15"/>
                <w:lang w:val="en-US" w:eastAsia="zh-CN" w:bidi="ar"/>
              </w:rPr>
            </w:pPr>
            <w:r>
              <w:rPr>
                <w:rFonts w:hint="eastAsia" w:ascii="宋体" w:hAnsi="宋体" w:eastAsia="宋体" w:cs="宋体"/>
                <w:kern w:val="0"/>
                <w:sz w:val="15"/>
                <w:szCs w:val="15"/>
                <w:lang w:val="en-US" w:eastAsia="zh-CN" w:bidi="ar"/>
              </w:rPr>
              <w:t>其中：办公费24万元、印刷费16万元、手续费2万元、水费4.5万元、电费8万元、取暖费7万元、物业管理费43万元、差旅费4万元、培训费26万元、公务接待费12万元、专用材料购置费3万元、公车运行费22.19万元（50%公车补贴），劳务费28万元、其他商品和服务支出 81.31万元等。</w:t>
            </w:r>
            <w:r>
              <w:rPr>
                <w:rFonts w:hint="eastAsia" w:ascii="宋体" w:hAnsi="宋体" w:eastAsia="宋体" w:cs="宋体"/>
                <w:kern w:val="0"/>
                <w:sz w:val="24"/>
                <w:szCs w:val="24"/>
                <w:lang w:val="en-US" w:eastAsia="zh-CN" w:bidi="ar"/>
              </w:rPr>
              <w:t>达到预算既定目标</w:t>
            </w:r>
          </w:p>
          <w:p>
            <w:pPr>
              <w:tabs>
                <w:tab w:val="left" w:pos="269"/>
              </w:tabs>
              <w:autoSpaceDN w:val="0"/>
              <w:spacing w:line="320" w:lineRule="exact"/>
              <w:jc w:val="left"/>
              <w:textAlignment w:val="center"/>
              <w:rPr>
                <w:rFonts w:hint="eastAsia" w:ascii="仿宋_GB2312" w:hAnsi="仿宋_GB2312" w:eastAsia="仿宋_GB2312" w:cs="仿宋_GB2312"/>
                <w:b/>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宋体" w:hAnsi="宋体" w:cs="宋体"/>
                <w:sz w:val="24"/>
                <w:szCs w:val="24"/>
                <w:lang w:val="en-US" w:eastAsia="zh-CN"/>
              </w:rPr>
              <w:t>涉密项目</w:t>
            </w:r>
            <w:r>
              <w:rPr>
                <w:rFonts w:hint="eastAsia" w:ascii="宋体" w:hAnsi="宋体" w:cs="宋体"/>
                <w:kern w:val="0"/>
                <w:sz w:val="24"/>
                <w:szCs w:val="24"/>
                <w:lang w:val="en-US" w:eastAsia="zh-CN" w:bidi="ar"/>
              </w:rPr>
              <w:t>按预算执行</w:t>
            </w:r>
          </w:p>
        </w:tc>
        <w:tc>
          <w:tcPr>
            <w:tcW w:w="2684" w:type="dxa"/>
            <w:gridSpan w:val="4"/>
            <w:vAlign w:val="center"/>
          </w:tcPr>
          <w:p>
            <w:pPr>
              <w:keepNext w:val="0"/>
              <w:keepLines w:val="0"/>
              <w:widowControl/>
              <w:suppressLineNumbers w:val="0"/>
              <w:jc w:val="left"/>
              <w:rPr>
                <w:rFonts w:hint="eastAsia" w:ascii="宋体" w:hAnsi="宋体" w:eastAsia="宋体" w:cs="宋体"/>
                <w:kern w:val="0"/>
                <w:sz w:val="15"/>
                <w:szCs w:val="15"/>
                <w:lang w:val="en-US" w:eastAsia="zh-CN" w:bidi="ar"/>
              </w:rPr>
            </w:pPr>
            <w:r>
              <w:rPr>
                <w:rFonts w:hint="eastAsia" w:ascii="宋体" w:hAnsi="宋体" w:eastAsia="宋体" w:cs="宋体"/>
                <w:kern w:val="0"/>
                <w:sz w:val="24"/>
                <w:szCs w:val="24"/>
                <w:lang w:val="en-US" w:eastAsia="zh-CN" w:bidi="ar"/>
              </w:rPr>
              <w:t>达到</w:t>
            </w:r>
            <w:r>
              <w:rPr>
                <w:rFonts w:hint="eastAsia" w:ascii="宋体" w:hAnsi="宋体" w:cs="宋体"/>
                <w:kern w:val="0"/>
                <w:sz w:val="24"/>
                <w:szCs w:val="24"/>
                <w:lang w:val="en-US" w:eastAsia="zh-CN" w:bidi="ar"/>
              </w:rPr>
              <w:t>了</w:t>
            </w:r>
            <w:r>
              <w:rPr>
                <w:rFonts w:hint="eastAsia" w:ascii="宋体" w:hAnsi="宋体" w:eastAsia="宋体" w:cs="宋体"/>
                <w:kern w:val="0"/>
                <w:sz w:val="24"/>
                <w:szCs w:val="24"/>
                <w:lang w:val="en-US" w:eastAsia="zh-CN" w:bidi="ar"/>
              </w:rPr>
              <w:t>预算既定目标</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宋体" w:hAnsi="宋体" w:eastAsia="宋体" w:cs="宋体"/>
                <w:sz w:val="24"/>
                <w:szCs w:val="24"/>
                <w:lang w:val="en-US" w:eastAsia="zh-CN"/>
              </w:rPr>
              <w:t>人防宣传教育预算资金166万元</w:t>
            </w:r>
            <w:r>
              <w:rPr>
                <w:rFonts w:hint="eastAsia" w:ascii="宋体" w:hAnsi="宋体" w:cs="宋体"/>
                <w:sz w:val="24"/>
                <w:szCs w:val="24"/>
                <w:lang w:val="en-US" w:eastAsia="zh-CN"/>
              </w:rPr>
              <w:t>，</w:t>
            </w:r>
            <w:r>
              <w:rPr>
                <w:rFonts w:hint="eastAsia" w:ascii="宋体" w:hAnsi="宋体" w:cs="宋体"/>
                <w:kern w:val="0"/>
                <w:sz w:val="24"/>
                <w:szCs w:val="24"/>
                <w:lang w:val="en-US" w:eastAsia="zh-CN" w:bidi="ar"/>
              </w:rPr>
              <w:t>按预算执行</w:t>
            </w:r>
          </w:p>
        </w:tc>
        <w:tc>
          <w:tcPr>
            <w:tcW w:w="2684" w:type="dxa"/>
            <w:gridSpan w:val="4"/>
            <w:vAlign w:val="center"/>
          </w:tcPr>
          <w:p>
            <w:pPr>
              <w:keepNext w:val="0"/>
              <w:keepLines w:val="0"/>
              <w:widowControl/>
              <w:suppressLineNumbers w:val="0"/>
              <w:jc w:val="left"/>
              <w:rPr>
                <w:rFonts w:hint="eastAsia" w:ascii="宋体" w:hAnsi="宋体" w:eastAsia="宋体" w:cs="宋体"/>
                <w:kern w:val="0"/>
                <w:sz w:val="15"/>
                <w:szCs w:val="15"/>
                <w:lang w:val="en-US" w:eastAsia="zh-CN" w:bidi="ar"/>
              </w:rPr>
            </w:pPr>
            <w:r>
              <w:rPr>
                <w:rFonts w:hint="eastAsia" w:ascii="宋体" w:hAnsi="宋体" w:eastAsia="宋体" w:cs="宋体"/>
                <w:kern w:val="0"/>
                <w:sz w:val="24"/>
                <w:szCs w:val="24"/>
                <w:lang w:val="en-US" w:eastAsia="zh-CN" w:bidi="ar"/>
              </w:rPr>
              <w:t>达到</w:t>
            </w:r>
            <w:r>
              <w:rPr>
                <w:rFonts w:hint="eastAsia" w:ascii="宋体" w:hAnsi="宋体" w:cs="宋体"/>
                <w:kern w:val="0"/>
                <w:sz w:val="24"/>
                <w:szCs w:val="24"/>
                <w:lang w:val="en-US" w:eastAsia="zh-CN" w:bidi="ar"/>
              </w:rPr>
              <w:t>了</w:t>
            </w:r>
            <w:r>
              <w:rPr>
                <w:rFonts w:hint="eastAsia" w:ascii="宋体" w:hAnsi="宋体" w:eastAsia="宋体" w:cs="宋体"/>
                <w:kern w:val="0"/>
                <w:sz w:val="24"/>
                <w:szCs w:val="24"/>
                <w:lang w:val="en-US" w:eastAsia="zh-CN" w:bidi="ar"/>
              </w:rPr>
              <w:t>预算既定目标</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rPr>
                <w:rFonts w:hint="eastAsia" w:ascii="宋体" w:hAnsi="宋体" w:eastAsia="宋体" w:cs="宋体"/>
                <w:sz w:val="24"/>
                <w:szCs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宋体" w:hAnsi="宋体" w:eastAsia="宋体" w:cs="宋体"/>
                <w:sz w:val="24"/>
                <w:szCs w:val="24"/>
                <w:lang w:val="en-US" w:eastAsia="zh-CN"/>
              </w:rPr>
              <w:t>应急经费预算资金50万元</w:t>
            </w:r>
            <w:r>
              <w:rPr>
                <w:rFonts w:hint="eastAsia" w:ascii="宋体" w:hAnsi="宋体" w:cs="宋体"/>
                <w:sz w:val="24"/>
                <w:szCs w:val="24"/>
                <w:lang w:val="en-US" w:eastAsia="zh-CN"/>
              </w:rPr>
              <w:t>，</w:t>
            </w:r>
            <w:r>
              <w:rPr>
                <w:rFonts w:hint="eastAsia" w:ascii="宋体" w:hAnsi="宋体" w:cs="宋体"/>
                <w:kern w:val="0"/>
                <w:sz w:val="24"/>
                <w:szCs w:val="24"/>
                <w:lang w:val="en-US" w:eastAsia="zh-CN" w:bidi="ar"/>
              </w:rPr>
              <w:t>按预算执行</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4"/>
            <w:vAlign w:val="center"/>
          </w:tcPr>
          <w:p>
            <w:pPr>
              <w:keepNext w:val="0"/>
              <w:keepLines w:val="0"/>
              <w:widowControl/>
              <w:suppressLineNumbers w:val="0"/>
              <w:autoSpaceDN w:val="0"/>
              <w:spacing w:line="320" w:lineRule="exact"/>
              <w:jc w:val="left"/>
              <w:textAlignment w:val="center"/>
              <w:rPr>
                <w:rFonts w:ascii="仿宋_GB2312" w:hAnsi="仿宋_GB2312" w:eastAsia="仿宋_GB2312" w:cs="仿宋_GB2312"/>
                <w:b/>
                <w:color w:val="000000"/>
                <w:sz w:val="24"/>
              </w:rPr>
            </w:pPr>
            <w:r>
              <w:rPr>
                <w:rFonts w:hint="eastAsia" w:ascii="宋体" w:hAnsi="宋体" w:eastAsia="宋体" w:cs="宋体"/>
                <w:kern w:val="0"/>
                <w:sz w:val="24"/>
                <w:szCs w:val="24"/>
                <w:lang w:val="en-US" w:eastAsia="zh-CN" w:bidi="ar"/>
              </w:rPr>
              <w:t>达到</w:t>
            </w:r>
            <w:r>
              <w:rPr>
                <w:rFonts w:hint="eastAsia" w:ascii="宋体" w:hAnsi="宋体" w:cs="宋体"/>
                <w:kern w:val="0"/>
                <w:sz w:val="24"/>
                <w:szCs w:val="24"/>
                <w:lang w:val="en-US" w:eastAsia="zh-CN" w:bidi="ar"/>
              </w:rPr>
              <w:t>了</w:t>
            </w:r>
            <w:r>
              <w:rPr>
                <w:rFonts w:hint="eastAsia" w:ascii="宋体" w:hAnsi="宋体" w:eastAsia="宋体" w:cs="宋体"/>
                <w:kern w:val="0"/>
                <w:sz w:val="24"/>
                <w:szCs w:val="24"/>
                <w:lang w:val="en-US" w:eastAsia="zh-CN" w:bidi="ar"/>
              </w:rPr>
              <w:t>预算既定目标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5"/>
            <w:vAlign w:val="center"/>
          </w:tcPr>
          <w:p>
            <w:pPr>
              <w:rPr>
                <w:rFonts w:hint="eastAsia" w:ascii="宋体" w:hAnsi="宋体" w:eastAsia="宋体" w:cs="宋体"/>
                <w:sz w:val="24"/>
                <w:szCs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宋体" w:hAnsi="宋体" w:cs="宋体"/>
                <w:sz w:val="24"/>
                <w:szCs w:val="24"/>
                <w:lang w:val="en-US" w:eastAsia="zh-CN"/>
              </w:rPr>
              <w:t>奢靡项目</w:t>
            </w:r>
            <w:r>
              <w:rPr>
                <w:rFonts w:hint="eastAsia" w:ascii="宋体" w:hAnsi="宋体" w:cs="宋体"/>
                <w:kern w:val="0"/>
                <w:sz w:val="24"/>
                <w:szCs w:val="24"/>
                <w:lang w:val="en-US" w:eastAsia="zh-CN" w:bidi="ar"/>
              </w:rPr>
              <w:t>按预算执行</w:t>
            </w:r>
          </w:p>
          <w:p>
            <w:pPr>
              <w:autoSpaceDN w:val="0"/>
              <w:spacing w:line="320" w:lineRule="exact"/>
              <w:jc w:val="both"/>
              <w:textAlignment w:val="center"/>
              <w:rPr>
                <w:rFonts w:hint="eastAsia" w:ascii="仿宋_GB2312" w:hAnsi="仿宋_GB2312" w:eastAsia="仿宋_GB2312" w:cs="仿宋_GB2312"/>
                <w:color w:val="000000"/>
                <w:sz w:val="24"/>
              </w:rPr>
            </w:pPr>
          </w:p>
        </w:tc>
        <w:tc>
          <w:tcPr>
            <w:tcW w:w="2684" w:type="dxa"/>
            <w:gridSpan w:val="4"/>
            <w:vAlign w:val="center"/>
          </w:tcPr>
          <w:p>
            <w:pPr>
              <w:keepNext w:val="0"/>
              <w:keepLines w:val="0"/>
              <w:widowControl/>
              <w:suppressLineNumbers w:val="0"/>
              <w:autoSpaceDN w:val="0"/>
              <w:spacing w:line="320" w:lineRule="exact"/>
              <w:jc w:val="left"/>
              <w:textAlignment w:val="center"/>
              <w:rPr>
                <w:rFonts w:ascii="仿宋_GB2312" w:hAnsi="仿宋_GB2312" w:eastAsia="仿宋_GB2312" w:cs="仿宋_GB2312"/>
                <w:b/>
                <w:color w:val="000000"/>
                <w:sz w:val="24"/>
              </w:rPr>
            </w:pPr>
            <w:r>
              <w:rPr>
                <w:rFonts w:hint="eastAsia" w:ascii="宋体" w:hAnsi="宋体" w:eastAsia="宋体" w:cs="宋体"/>
                <w:kern w:val="0"/>
                <w:sz w:val="24"/>
                <w:szCs w:val="24"/>
                <w:lang w:val="en-US" w:eastAsia="zh-CN" w:bidi="ar"/>
              </w:rPr>
              <w:t>达到</w:t>
            </w:r>
            <w:r>
              <w:rPr>
                <w:rFonts w:hint="eastAsia" w:ascii="宋体" w:hAnsi="宋体" w:cs="宋体"/>
                <w:kern w:val="0"/>
                <w:sz w:val="24"/>
                <w:szCs w:val="24"/>
                <w:lang w:val="en-US" w:eastAsia="zh-CN" w:bidi="ar"/>
              </w:rPr>
              <w:t>了</w:t>
            </w:r>
            <w:r>
              <w:rPr>
                <w:rFonts w:hint="eastAsia" w:ascii="宋体" w:hAnsi="宋体" w:eastAsia="宋体" w:cs="宋体"/>
                <w:kern w:val="0"/>
                <w:sz w:val="24"/>
                <w:szCs w:val="24"/>
                <w:lang w:val="en-US" w:eastAsia="zh-CN" w:bidi="ar"/>
              </w:rPr>
              <w:t>预算既定目标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bidi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：涉密。</w:t>
            </w:r>
          </w:p>
          <w:p>
            <w:pPr>
              <w:bidi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涉密。</w:t>
            </w:r>
          </w:p>
          <w:p>
            <w:pPr>
              <w:bidi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涉密。</w:t>
            </w:r>
          </w:p>
          <w:p>
            <w:pPr>
              <w:bidi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涉密；</w:t>
            </w:r>
          </w:p>
          <w:p>
            <w:pPr>
              <w:bidi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4"/>
                <w:lang w:eastAsia="zh-CN"/>
              </w:rPr>
              <w:t>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：主动融入和服务城市建设，促进城市地下空间开发利用，合理开发利用人防工程作为停车、便民等公益设施，积极融入应急管理体系，强化指挥通信体系与应急管理体系相融合。</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320" w:lineRule="exact"/>
              <w:ind w:firstLine="234" w:firstLineChars="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国防</w:t>
            </w:r>
          </w:p>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公益事业</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bidi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人防工程布局合理，避免城市内塌方等安全隐患，</w:t>
            </w:r>
            <w:r>
              <w:rPr>
                <w:rFonts w:hint="eastAsia" w:ascii="仿宋_GB2312" w:hAnsi="仿宋_GB2312" w:eastAsia="仿宋_GB2312" w:cs="仿宋_GB2312"/>
                <w:color w:val="000000"/>
                <w:sz w:val="24"/>
                <w:lang w:val="en-US" w:eastAsia="zh-CN"/>
              </w:rPr>
              <w:t>强化对突发事件的监测，尽快采取措施，迅速控制和消除危害，</w:t>
            </w:r>
            <w:r>
              <w:rPr>
                <w:rFonts w:hint="eastAsia" w:ascii="仿宋_GB2312" w:hAnsi="仿宋_GB2312" w:eastAsia="仿宋_GB2312" w:cs="仿宋_GB2312"/>
                <w:color w:val="000000"/>
                <w:sz w:val="24"/>
                <w:lang w:eastAsia="zh-CN"/>
              </w:rPr>
              <w:t>有利于环境生态发展，</w:t>
            </w:r>
            <w:r>
              <w:rPr>
                <w:rFonts w:hint="eastAsia" w:ascii="仿宋_GB2312" w:hAnsi="仿宋_GB2312" w:eastAsia="仿宋_GB2312" w:cs="仿宋_GB2312"/>
                <w:color w:val="000000"/>
                <w:sz w:val="24"/>
                <w:lang w:val="en-US" w:eastAsia="zh-CN"/>
              </w:rPr>
              <w:t xml:space="preserve">对保障公共财产和人民生命安全，维护社会稳定，促进了社会和经济的协调发展。 </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bidi w:val="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服务对象满意率=项目区被调查人数中表示满意的人数(户数)/ 被调查人数(户数)×100%</w:t>
            </w:r>
          </w:p>
        </w:tc>
        <w:tc>
          <w:tcPr>
            <w:tcW w:w="2684" w:type="dxa"/>
            <w:gridSpan w:val="4"/>
            <w:vAlign w:val="center"/>
          </w:tcPr>
          <w:p>
            <w:pPr>
              <w:autoSpaceDN w:val="0"/>
              <w:spacing w:line="320" w:lineRule="exact"/>
              <w:jc w:val="center"/>
              <w:textAlignment w:val="center"/>
              <w:rPr>
                <w:rFonts w:hint="default" w:ascii="仿宋_GB2312" w:hAnsi="仿宋_GB2312" w:eastAsia="仿宋" w:cs="仿宋_GB2312"/>
                <w:b/>
                <w:color w:val="000000"/>
                <w:sz w:val="24"/>
                <w:lang w:val="en-US" w:eastAsia="zh-CN"/>
              </w:rPr>
            </w:pPr>
            <w:r>
              <w:rPr>
                <w:rFonts w:hint="eastAsia" w:ascii="仿宋" w:hAnsi="仿宋" w:eastAsia="仿宋" w:cs="仿宋"/>
                <w:color w:val="000000"/>
                <w:sz w:val="24"/>
                <w:lang w:val="en-US" w:eastAsia="zh-CN"/>
              </w:rPr>
              <w:t>通过对</w:t>
            </w:r>
            <w:r>
              <w:rPr>
                <w:rFonts w:hint="eastAsia" w:ascii="仿宋" w:hAnsi="仿宋" w:eastAsia="仿宋" w:cs="仿宋"/>
                <w:color w:val="000000"/>
                <w:sz w:val="24"/>
              </w:rPr>
              <w:t>服务对象</w:t>
            </w:r>
            <w:r>
              <w:rPr>
                <w:rFonts w:hint="eastAsia" w:ascii="仿宋" w:hAnsi="仿宋" w:eastAsia="仿宋" w:cs="仿宋"/>
                <w:color w:val="000000"/>
                <w:sz w:val="24"/>
                <w:lang w:val="en-US" w:eastAsia="zh-CN"/>
              </w:rPr>
              <w:t>20人</w:t>
            </w:r>
            <w:r>
              <w:rPr>
                <w:rFonts w:hint="eastAsia" w:ascii="仿宋" w:hAnsi="仿宋" w:eastAsia="仿宋" w:cs="仿宋"/>
                <w:color w:val="000000"/>
                <w:sz w:val="24"/>
              </w:rPr>
              <w:t>满意</w:t>
            </w:r>
            <w:r>
              <w:rPr>
                <w:rFonts w:hint="eastAsia" w:ascii="仿宋" w:hAnsi="仿宋" w:eastAsia="仿宋" w:cs="仿宋"/>
                <w:color w:val="000000"/>
                <w:sz w:val="24"/>
                <w:lang w:val="en-US" w:eastAsia="zh-CN"/>
              </w:rPr>
              <w:t>度</w:t>
            </w:r>
            <w:r>
              <w:rPr>
                <w:rFonts w:hint="eastAsia" w:ascii="仿宋" w:hAnsi="仿宋" w:eastAsia="仿宋" w:cs="仿宋"/>
                <w:color w:val="000000"/>
                <w:sz w:val="24"/>
              </w:rPr>
              <w:t>调查</w:t>
            </w:r>
            <w:r>
              <w:rPr>
                <w:rFonts w:hint="eastAsia" w:ascii="仿宋" w:hAnsi="仿宋" w:eastAsia="仿宋" w:cs="仿宋"/>
                <w:color w:val="000000"/>
                <w:sz w:val="24"/>
                <w:lang w:eastAsia="zh-CN"/>
              </w:rPr>
              <w:t>，</w:t>
            </w:r>
            <w:r>
              <w:rPr>
                <w:rFonts w:hint="eastAsia" w:ascii="仿宋" w:hAnsi="仿宋" w:eastAsia="仿宋" w:cs="仿宋"/>
                <w:color w:val="000000"/>
                <w:sz w:val="24"/>
              </w:rPr>
              <w:t>满意</w:t>
            </w:r>
            <w:r>
              <w:rPr>
                <w:rFonts w:hint="eastAsia" w:ascii="仿宋" w:hAnsi="仿宋" w:eastAsia="仿宋" w:cs="仿宋"/>
                <w:color w:val="000000"/>
                <w:sz w:val="24"/>
                <w:lang w:val="en-US" w:eastAsia="zh-CN"/>
              </w:rPr>
              <w:t>度为100%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vAlign w:val="center"/>
          </w:tcPr>
          <w:p>
            <w:pPr>
              <w:tabs>
                <w:tab w:val="left" w:pos="1862"/>
                <w:tab w:val="left" w:pos="2618"/>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val="en-US" w:eastAsia="zh-CN"/>
              </w:rPr>
              <w:t xml:space="preserve">     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卢志平</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主任、党组书记</w:t>
            </w:r>
          </w:p>
        </w:tc>
        <w:tc>
          <w:tcPr>
            <w:tcW w:w="1479"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岳阳市人民防空办公室</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刘绍斌</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副主任、党组成员</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岳阳市人民防空办公室</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任伟明</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党组成员、机关党委书记</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岳阳市人民防空办公室</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鲁殿群</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行财科科长</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岳阳市人民防空办公室</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陈琴</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8886673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top"/>
          </w:tcPr>
          <w:p>
            <w:pPr>
              <w:numPr>
                <w:ilvl w:val="0"/>
                <w:numId w:val="2"/>
              </w:numPr>
              <w:jc w:val="both"/>
              <w:rPr>
                <w:rFonts w:hint="eastAsia" w:eastAsia="仿宋_GB2312"/>
                <w:b w:val="0"/>
                <w:bCs/>
                <w:sz w:val="24"/>
                <w:lang w:val="en-US" w:eastAsia="zh-CN"/>
              </w:rPr>
            </w:pPr>
            <w:r>
              <w:rPr>
                <w:rFonts w:hint="eastAsia" w:eastAsia="仿宋_GB2312"/>
                <w:b w:val="0"/>
                <w:bCs/>
                <w:sz w:val="24"/>
                <w:lang w:val="en-US" w:eastAsia="zh-CN"/>
              </w:rPr>
              <w:t>在不违反相关政策的前提下，用以补充基本支出中财政拨款的差额部分，以保障单位正常的基本运转。</w:t>
            </w:r>
            <w:r>
              <w:rPr>
                <w:rFonts w:hint="eastAsia" w:eastAsia="仿宋_GB2312"/>
                <w:b w:val="0"/>
                <w:bCs/>
                <w:sz w:val="24"/>
                <w:lang w:val="en-US" w:eastAsia="zh-CN"/>
              </w:rPr>
              <w:br w:type="textWrapping"/>
            </w:r>
          </w:p>
          <w:p>
            <w:pPr>
              <w:numPr>
                <w:ilvl w:val="0"/>
                <w:numId w:val="2"/>
              </w:numPr>
              <w:jc w:val="both"/>
              <w:rPr>
                <w:rFonts w:hint="eastAsia" w:eastAsia="仿宋_GB2312"/>
                <w:b w:val="0"/>
                <w:bCs/>
                <w:sz w:val="24"/>
                <w:lang w:val="en-US" w:eastAsia="zh-CN"/>
              </w:rPr>
            </w:pPr>
            <w:r>
              <w:rPr>
                <w:rFonts w:hint="eastAsia" w:eastAsia="仿宋_GB2312"/>
                <w:b w:val="0"/>
                <w:bCs/>
                <w:sz w:val="24"/>
                <w:lang w:val="en-US" w:eastAsia="zh-CN"/>
              </w:rPr>
              <w:t>根据省办工作要求，加快指挥通信体系建设，重点抓好指挥平台建设、通信训练演练、人防数据库建设和专业队伍训练演练，全面完成全省人防应急指挥通信专网和警报报知网建设目标任务，不断提高我市人防组织指挥、通信保障和遂行能力。</w:t>
            </w:r>
            <w:r>
              <w:rPr>
                <w:rFonts w:hint="eastAsia" w:eastAsia="仿宋_GB2312"/>
                <w:b w:val="0"/>
                <w:bCs/>
                <w:sz w:val="24"/>
                <w:lang w:val="en-US" w:eastAsia="zh-CN"/>
              </w:rPr>
              <w:br w:type="textWrapping"/>
            </w:r>
          </w:p>
          <w:p>
            <w:pPr>
              <w:numPr>
                <w:ilvl w:val="0"/>
                <w:numId w:val="2"/>
              </w:numPr>
              <w:jc w:val="both"/>
              <w:rPr>
                <w:rFonts w:hint="eastAsia" w:eastAsia="仿宋_GB2312"/>
                <w:b w:val="0"/>
                <w:bCs/>
                <w:sz w:val="24"/>
                <w:lang w:val="en-US" w:eastAsia="zh-CN"/>
              </w:rPr>
            </w:pPr>
            <w:r>
              <w:rPr>
                <w:rFonts w:hint="eastAsia" w:eastAsia="仿宋_GB2312"/>
                <w:b w:val="0"/>
                <w:bCs/>
                <w:sz w:val="24"/>
                <w:lang w:val="en-US" w:eastAsia="zh-CN"/>
              </w:rPr>
              <w:t>通过扎实有效的人防宣传教育，扭转人防建设单打独斗的局面，全市上下形成领导重视支持、部门协调配合、社会高度关注，关心人防、支持人防、建设人防的良好氛围。</w:t>
            </w:r>
            <w:r>
              <w:rPr>
                <w:rFonts w:hint="eastAsia" w:eastAsia="仿宋_GB2312"/>
                <w:b w:val="0"/>
                <w:bCs/>
                <w:sz w:val="24"/>
                <w:lang w:val="en-US" w:eastAsia="zh-CN"/>
              </w:rPr>
              <w:br w:type="textWrapping"/>
            </w:r>
          </w:p>
          <w:p>
            <w:pPr>
              <w:numPr>
                <w:ilvl w:val="0"/>
                <w:numId w:val="2"/>
              </w:numPr>
              <w:jc w:val="both"/>
              <w:rPr>
                <w:rFonts w:hint="eastAsia" w:eastAsia="仿宋_GB2312"/>
                <w:b w:val="0"/>
                <w:bCs/>
                <w:sz w:val="24"/>
                <w:lang w:val="en-US" w:eastAsia="zh-CN"/>
              </w:rPr>
            </w:pPr>
            <w:r>
              <w:rPr>
                <w:rFonts w:hint="eastAsia" w:eastAsia="仿宋_GB2312"/>
                <w:b w:val="0"/>
                <w:bCs/>
                <w:sz w:val="24"/>
                <w:lang w:val="en-US" w:eastAsia="zh-CN"/>
              </w:rPr>
              <w:t>按照中发办[2014]15号文件精神及2019年省人防绩效评估指标、人防工作要点的内容，通过建立健全预警机制，强化对突发事件的监测，尽快采取措施，迅速控制和消除危害，保障公共财产和人民生命安全，维护社会稳定，促进社会和经济的协调发展。</w:t>
            </w:r>
            <w:r>
              <w:rPr>
                <w:rFonts w:hint="eastAsia" w:eastAsia="仿宋_GB2312"/>
                <w:b w:val="0"/>
                <w:bCs/>
                <w:sz w:val="24"/>
                <w:lang w:val="en-US" w:eastAsia="zh-CN"/>
              </w:rPr>
              <w:br w:type="textWrapping"/>
            </w:r>
          </w:p>
          <w:p>
            <w:pPr>
              <w:numPr>
                <w:ilvl w:val="0"/>
                <w:numId w:val="2"/>
              </w:numPr>
              <w:jc w:val="both"/>
              <w:rPr>
                <w:rFonts w:hint="eastAsia" w:eastAsia="仿宋_GB2312"/>
                <w:b w:val="0"/>
                <w:bCs/>
                <w:sz w:val="24"/>
                <w:lang w:val="en-US" w:eastAsia="zh-CN"/>
              </w:rPr>
            </w:pPr>
            <w:r>
              <w:rPr>
                <w:rFonts w:hint="eastAsia" w:eastAsia="仿宋_GB2312"/>
                <w:b w:val="0"/>
                <w:bCs/>
                <w:sz w:val="24"/>
                <w:lang w:val="en-US" w:eastAsia="zh-CN"/>
              </w:rPr>
              <w:t>根据岳政办函〔2014〕78号文件精神，合理利用人防非税收入征收成本。为更好的保障2019年度人防执法、机关正常运转等工作的顺利开展。</w:t>
            </w:r>
            <w:r>
              <w:rPr>
                <w:rFonts w:hint="eastAsia" w:eastAsia="仿宋_GB2312"/>
                <w:b w:val="0"/>
                <w:bCs/>
                <w:sz w:val="24"/>
                <w:lang w:val="en-US" w:eastAsia="zh-CN"/>
              </w:rPr>
              <w:br w:type="textWrapping"/>
            </w:r>
          </w:p>
          <w:p>
            <w:pPr>
              <w:numPr>
                <w:ilvl w:val="0"/>
                <w:numId w:val="2"/>
              </w:numPr>
              <w:jc w:val="both"/>
              <w:rPr>
                <w:rFonts w:hint="eastAsia" w:eastAsia="仿宋_GB2312"/>
                <w:b w:val="0"/>
                <w:bCs/>
                <w:sz w:val="24"/>
                <w:lang w:val="en-US" w:eastAsia="zh-CN"/>
              </w:rPr>
            </w:pPr>
            <w:r>
              <w:rPr>
                <w:rFonts w:hint="eastAsia" w:eastAsia="仿宋_GB2312"/>
                <w:b w:val="0"/>
                <w:bCs/>
                <w:sz w:val="24"/>
                <w:lang w:val="en-US" w:eastAsia="zh-CN"/>
              </w:rPr>
              <w:t>完善指挥功能，保证防空防灾工作落实。</w:t>
            </w:r>
          </w:p>
        </w:tc>
        <w:tc>
          <w:tcPr>
            <w:tcW w:w="3036" w:type="dxa"/>
            <w:gridSpan w:val="3"/>
            <w:tcBorders>
              <w:bottom w:val="single" w:color="auto" w:sz="4" w:space="0"/>
            </w:tcBorders>
            <w:vAlign w:val="top"/>
          </w:tcPr>
          <w:p>
            <w:pPr>
              <w:numPr>
                <w:ilvl w:val="0"/>
                <w:numId w:val="3"/>
              </w:numPr>
              <w:spacing w:line="400" w:lineRule="exact"/>
              <w:jc w:val="both"/>
              <w:rPr>
                <w:rFonts w:hint="eastAsia" w:eastAsia="仿宋_GB2312"/>
                <w:b w:val="0"/>
                <w:bCs/>
                <w:sz w:val="24"/>
                <w:lang w:val="en-US" w:eastAsia="zh-CN"/>
              </w:rPr>
            </w:pPr>
            <w:r>
              <w:rPr>
                <w:rFonts w:hint="eastAsia" w:eastAsia="仿宋_GB2312"/>
                <w:b w:val="0"/>
                <w:bCs/>
                <w:sz w:val="24"/>
                <w:lang w:val="en-US" w:eastAsia="zh-CN"/>
              </w:rPr>
              <w:t>为保障机关正常运转，主要用于补贴基本支出中财政拨款公用支出中的差额部分。年度执行达到预算既定目标。</w:t>
            </w:r>
          </w:p>
          <w:p>
            <w:pPr>
              <w:numPr>
                <w:ilvl w:val="0"/>
                <w:numId w:val="3"/>
              </w:numPr>
              <w:spacing w:line="400" w:lineRule="exact"/>
              <w:jc w:val="both"/>
              <w:rPr>
                <w:rFonts w:hint="eastAsia" w:eastAsia="仿宋_GB2312"/>
                <w:b w:val="0"/>
                <w:bCs/>
                <w:sz w:val="24"/>
                <w:lang w:val="en-US" w:eastAsia="zh-CN"/>
              </w:rPr>
            </w:pPr>
            <w:r>
              <w:rPr>
                <w:rFonts w:hint="eastAsia" w:eastAsia="仿宋_GB2312"/>
                <w:b w:val="0"/>
                <w:bCs/>
                <w:sz w:val="24"/>
                <w:lang w:val="en-US" w:eastAsia="zh-CN"/>
              </w:rPr>
              <w:t>提高我市人防组织指挥、通信保障和遂行能力。达到预算既定目标。</w:t>
            </w:r>
          </w:p>
          <w:p>
            <w:pPr>
              <w:numPr>
                <w:ilvl w:val="0"/>
                <w:numId w:val="3"/>
              </w:numPr>
              <w:spacing w:line="400" w:lineRule="exact"/>
              <w:jc w:val="both"/>
              <w:rPr>
                <w:rFonts w:hint="eastAsia" w:eastAsia="仿宋_GB2312"/>
                <w:b w:val="0"/>
                <w:bCs/>
                <w:sz w:val="24"/>
                <w:lang w:val="en-US" w:eastAsia="zh-CN"/>
              </w:rPr>
            </w:pPr>
            <w:r>
              <w:rPr>
                <w:rFonts w:hint="eastAsia" w:eastAsia="仿宋_GB2312"/>
                <w:b w:val="0"/>
                <w:bCs/>
                <w:sz w:val="24"/>
                <w:lang w:val="en-US" w:eastAsia="zh-CN"/>
              </w:rPr>
              <w:t>提高广大人民群众的国防观念和防空防灾技能。社会公众满意度100%。</w:t>
            </w:r>
          </w:p>
          <w:p>
            <w:pPr>
              <w:numPr>
                <w:ilvl w:val="0"/>
                <w:numId w:val="3"/>
              </w:numPr>
              <w:spacing w:line="400" w:lineRule="exact"/>
              <w:jc w:val="both"/>
              <w:rPr>
                <w:rFonts w:hint="eastAsia" w:eastAsia="仿宋_GB2312"/>
                <w:b w:val="0"/>
                <w:bCs/>
                <w:sz w:val="24"/>
                <w:lang w:val="en-US" w:eastAsia="zh-CN"/>
              </w:rPr>
            </w:pPr>
            <w:r>
              <w:rPr>
                <w:rFonts w:hint="eastAsia" w:eastAsia="仿宋_GB2312"/>
                <w:b w:val="0"/>
                <w:bCs/>
                <w:sz w:val="24"/>
                <w:lang w:val="en-US" w:eastAsia="zh-CN"/>
              </w:rPr>
              <w:t>主要用于保障省人防办、市委市政府、军分区及其他相关单位临时性交办的工作安排及早期人防工程防汛防旱抢险救灾及其他抢险救灾任务所需要的费用等。应急支援抢险经费20万元；专项业务应急经费10万元；省人防办、市委市政府、市军分区及其他相关单位临时性交办的工作安排经费20万元。按照实际工作安排费用支出。达到预算既定目标。</w:t>
            </w:r>
          </w:p>
          <w:p>
            <w:pPr>
              <w:numPr>
                <w:ilvl w:val="0"/>
                <w:numId w:val="3"/>
              </w:numPr>
              <w:spacing w:line="400" w:lineRule="exact"/>
              <w:jc w:val="both"/>
              <w:rPr>
                <w:rFonts w:hint="eastAsia" w:eastAsia="仿宋_GB2312"/>
                <w:b w:val="0"/>
                <w:bCs/>
                <w:sz w:val="24"/>
                <w:lang w:val="en-US" w:eastAsia="zh-CN"/>
              </w:rPr>
            </w:pPr>
            <w:r>
              <w:rPr>
                <w:rFonts w:hint="eastAsia" w:eastAsia="仿宋_GB2312"/>
                <w:b w:val="0"/>
                <w:bCs/>
                <w:sz w:val="24"/>
                <w:lang w:val="en-US" w:eastAsia="zh-CN"/>
              </w:rPr>
              <w:t>按照财政标准公式核定安排。易地建设费252万（5600*4.5%），租赁收入5.96万（29.80*20%）。主要用于列支行政执法、执法人员经费及其他相关事宜以及其它在人防非税执法过程中消耗的人力、物力、财力等费用。达到预算既定目标。</w:t>
            </w:r>
          </w:p>
          <w:p>
            <w:pPr>
              <w:numPr>
                <w:ilvl w:val="0"/>
                <w:numId w:val="3"/>
              </w:numPr>
              <w:spacing w:line="400" w:lineRule="exact"/>
              <w:jc w:val="both"/>
              <w:rPr>
                <w:rFonts w:hint="eastAsia" w:eastAsia="仿宋_GB2312"/>
                <w:b w:val="0"/>
                <w:bCs/>
                <w:sz w:val="24"/>
                <w:lang w:val="en-US" w:eastAsia="zh-CN"/>
              </w:rPr>
            </w:pPr>
            <w:r>
              <w:rPr>
                <w:rFonts w:hint="eastAsia" w:eastAsia="仿宋_GB2312"/>
                <w:b w:val="0"/>
                <w:bCs/>
                <w:sz w:val="24"/>
                <w:lang w:val="en-US" w:eastAsia="zh-CN"/>
              </w:rPr>
              <w:t>人防封闭式训练、准军事化建设、应急支援训练10万元；人防战备资源储备10万元；指挥部专业训练5万元；岳阳市重要经济目标防护演练10万元；国防动员网第二路由建设585万元（省人防办文件通知）。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9</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CBDAA"/>
    <w:multiLevelType w:val="singleLevel"/>
    <w:tmpl w:val="EE8CBDAA"/>
    <w:lvl w:ilvl="0" w:tentative="0">
      <w:start w:val="1"/>
      <w:numFmt w:val="decimal"/>
      <w:suff w:val="nothing"/>
      <w:lvlText w:val="%1、"/>
      <w:lvlJc w:val="left"/>
    </w:lvl>
  </w:abstractNum>
  <w:abstractNum w:abstractNumId="1">
    <w:nsid w:val="52A6AF0A"/>
    <w:multiLevelType w:val="singleLevel"/>
    <w:tmpl w:val="52A6AF0A"/>
    <w:lvl w:ilvl="0" w:tentative="0">
      <w:start w:val="1"/>
      <w:numFmt w:val="decimal"/>
      <w:suff w:val="nothing"/>
      <w:lvlText w:val="%1、"/>
      <w:lvlJc w:val="left"/>
    </w:lvl>
  </w:abstractNum>
  <w:abstractNum w:abstractNumId="2">
    <w:nsid w:val="743973A5"/>
    <w:multiLevelType w:val="singleLevel"/>
    <w:tmpl w:val="743973A5"/>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55CDD"/>
    <w:rsid w:val="00A1279C"/>
    <w:rsid w:val="00CC1DBD"/>
    <w:rsid w:val="03CC0081"/>
    <w:rsid w:val="05D54DEF"/>
    <w:rsid w:val="09BC0C2F"/>
    <w:rsid w:val="0C0F5957"/>
    <w:rsid w:val="0C5B1F08"/>
    <w:rsid w:val="0C675AFA"/>
    <w:rsid w:val="0C7360B3"/>
    <w:rsid w:val="0C8E2EC3"/>
    <w:rsid w:val="0CA44F67"/>
    <w:rsid w:val="0CD3461E"/>
    <w:rsid w:val="0D3C1FD6"/>
    <w:rsid w:val="0F015588"/>
    <w:rsid w:val="0FD35AD4"/>
    <w:rsid w:val="13380D9C"/>
    <w:rsid w:val="173A679A"/>
    <w:rsid w:val="17D43F23"/>
    <w:rsid w:val="19B920A7"/>
    <w:rsid w:val="19C24D42"/>
    <w:rsid w:val="1B2D7A11"/>
    <w:rsid w:val="1B823FCC"/>
    <w:rsid w:val="1CD96EBA"/>
    <w:rsid w:val="1F2F77E7"/>
    <w:rsid w:val="1FC82782"/>
    <w:rsid w:val="204C4D88"/>
    <w:rsid w:val="21A47C40"/>
    <w:rsid w:val="22256AAA"/>
    <w:rsid w:val="225D19E6"/>
    <w:rsid w:val="226B5B71"/>
    <w:rsid w:val="23CF4305"/>
    <w:rsid w:val="240B3537"/>
    <w:rsid w:val="26114A29"/>
    <w:rsid w:val="26C543B1"/>
    <w:rsid w:val="28857326"/>
    <w:rsid w:val="28FE5225"/>
    <w:rsid w:val="29F0265C"/>
    <w:rsid w:val="2A784B6D"/>
    <w:rsid w:val="2CE86091"/>
    <w:rsid w:val="2D864BDF"/>
    <w:rsid w:val="2EA82936"/>
    <w:rsid w:val="2F4803A1"/>
    <w:rsid w:val="2FD42DB4"/>
    <w:rsid w:val="2FEE7D48"/>
    <w:rsid w:val="306B403C"/>
    <w:rsid w:val="311B1DCF"/>
    <w:rsid w:val="33C00BF7"/>
    <w:rsid w:val="344D1160"/>
    <w:rsid w:val="347D629E"/>
    <w:rsid w:val="34A14D79"/>
    <w:rsid w:val="34A42009"/>
    <w:rsid w:val="36B25B0C"/>
    <w:rsid w:val="385628C5"/>
    <w:rsid w:val="38A30AC5"/>
    <w:rsid w:val="38BD3C18"/>
    <w:rsid w:val="3C5119B6"/>
    <w:rsid w:val="3CE91317"/>
    <w:rsid w:val="3E871887"/>
    <w:rsid w:val="3ED56502"/>
    <w:rsid w:val="3F952832"/>
    <w:rsid w:val="43217313"/>
    <w:rsid w:val="437F720E"/>
    <w:rsid w:val="45786B88"/>
    <w:rsid w:val="45B8168A"/>
    <w:rsid w:val="46E84E66"/>
    <w:rsid w:val="47844C42"/>
    <w:rsid w:val="48397FCA"/>
    <w:rsid w:val="4ACB69AE"/>
    <w:rsid w:val="4D9C19F0"/>
    <w:rsid w:val="4DE76880"/>
    <w:rsid w:val="4E200B54"/>
    <w:rsid w:val="4F0F7456"/>
    <w:rsid w:val="4F3A3BD8"/>
    <w:rsid w:val="4FEE4E63"/>
    <w:rsid w:val="4FF54062"/>
    <w:rsid w:val="50334B6C"/>
    <w:rsid w:val="52214DED"/>
    <w:rsid w:val="525538D6"/>
    <w:rsid w:val="52CD6811"/>
    <w:rsid w:val="532D7C73"/>
    <w:rsid w:val="544C6B6C"/>
    <w:rsid w:val="54854DB8"/>
    <w:rsid w:val="564F0BEC"/>
    <w:rsid w:val="569C45CD"/>
    <w:rsid w:val="57455CDD"/>
    <w:rsid w:val="58815722"/>
    <w:rsid w:val="59370D02"/>
    <w:rsid w:val="5A2E2693"/>
    <w:rsid w:val="5B8447E5"/>
    <w:rsid w:val="5BF54374"/>
    <w:rsid w:val="5CFB4FC2"/>
    <w:rsid w:val="5D417E72"/>
    <w:rsid w:val="5E601449"/>
    <w:rsid w:val="5E74549D"/>
    <w:rsid w:val="5F8001F0"/>
    <w:rsid w:val="60832732"/>
    <w:rsid w:val="61F41355"/>
    <w:rsid w:val="64F44AE9"/>
    <w:rsid w:val="672E75EC"/>
    <w:rsid w:val="67F36680"/>
    <w:rsid w:val="687C6618"/>
    <w:rsid w:val="68B4378D"/>
    <w:rsid w:val="68F204A3"/>
    <w:rsid w:val="69B4051F"/>
    <w:rsid w:val="69F43EBC"/>
    <w:rsid w:val="69FF1CE2"/>
    <w:rsid w:val="6A937051"/>
    <w:rsid w:val="6D6F1C70"/>
    <w:rsid w:val="6E2D5175"/>
    <w:rsid w:val="6ECD019B"/>
    <w:rsid w:val="712E1711"/>
    <w:rsid w:val="720F59D9"/>
    <w:rsid w:val="7375260F"/>
    <w:rsid w:val="74DC27CE"/>
    <w:rsid w:val="750715B9"/>
    <w:rsid w:val="75801FDE"/>
    <w:rsid w:val="767A5C6B"/>
    <w:rsid w:val="77251CC6"/>
    <w:rsid w:val="776E1622"/>
    <w:rsid w:val="7A926AE3"/>
    <w:rsid w:val="7AA06778"/>
    <w:rsid w:val="7BA2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2021-06-12T06:36:00Z</dcterms:created>
  <dc:creator>dont ask</dc:creator>
  <cp:lastModifiedBy>周  丹</cp:lastModifiedBy>
  <cp:lastPrinted>2021-06-22T01:39:00Z</cp:lastPrinted>
  <dcterms:modified xsi:type="dcterms:W3CDTF">2022-08-19T09:02:27Z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67C9F6D6DFAB4293B4C48BBA396BF1EC</vt:lpwstr>
  </property>
</Properties>
</file>